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5000" w:type="pct"/>
        <w:tblInd w:w="0" w:type="dxa"/>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1380" w:hRule="atLeast"/>
        </w:trPr>
        <w:tc>
          <w:tcPr>
            <w:tcW w:w="5000" w:type="pct"/>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岳阳市公路建设和养护中心2022年度单位预算</w:t>
            </w:r>
          </w:p>
        </w:tc>
      </w:tr>
      <w:tr>
        <w:tblPrEx>
          <w:tblCellMar>
            <w:top w:w="0" w:type="dxa"/>
            <w:left w:w="108" w:type="dxa"/>
            <w:bottom w:w="0" w:type="dxa"/>
            <w:right w:w="108" w:type="dxa"/>
          </w:tblCellMar>
        </w:tblPrEx>
        <w:trPr>
          <w:trHeight w:val="642" w:hRule="atLeast"/>
        </w:trPr>
        <w:tc>
          <w:tcPr>
            <w:tcW w:w="5000" w:type="pct"/>
            <w:tcBorders>
              <w:top w:val="nil"/>
              <w:left w:val="nil"/>
              <w:bottom w:val="nil"/>
              <w:right w:val="nil"/>
            </w:tcBorders>
            <w:shd w:val="clear" w:color="auto" w:fill="auto"/>
            <w:vAlign w:val="center"/>
          </w:tcPr>
          <w:p>
            <w:pPr>
              <w:widowControl/>
              <w:jc w:val="center"/>
              <w:rPr>
                <w:rFonts w:ascii="黑体" w:hAnsi="黑体" w:eastAsia="黑体" w:cs="宋体"/>
                <w:kern w:val="0"/>
                <w:sz w:val="36"/>
                <w:szCs w:val="36"/>
              </w:rPr>
            </w:pPr>
            <w:r>
              <w:rPr>
                <w:rFonts w:hint="eastAsia" w:ascii="黑体" w:hAnsi="黑体" w:eastAsia="黑体" w:cs="宋体"/>
                <w:kern w:val="0"/>
                <w:sz w:val="36"/>
                <w:szCs w:val="36"/>
              </w:rPr>
              <w:t>目录</w:t>
            </w:r>
          </w:p>
        </w:tc>
      </w:tr>
      <w:tr>
        <w:tblPrEx>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第一部分  2022年单位预算说明</w:t>
            </w:r>
          </w:p>
        </w:tc>
      </w:tr>
      <w:tr>
        <w:tblPrEx>
          <w:tblCellMar>
            <w:top w:w="0" w:type="dxa"/>
            <w:left w:w="108" w:type="dxa"/>
            <w:bottom w:w="0" w:type="dxa"/>
            <w:right w:w="108" w:type="dxa"/>
          </w:tblCellMar>
        </w:tblPrEx>
        <w:trPr>
          <w:trHeight w:val="60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第二部分  2022年单位预算公开表格</w:t>
            </w:r>
          </w:p>
        </w:tc>
      </w:tr>
      <w:tr>
        <w:tblPrEx>
          <w:tblCellMar>
            <w:top w:w="0" w:type="dxa"/>
            <w:left w:w="108" w:type="dxa"/>
            <w:bottom w:w="0" w:type="dxa"/>
            <w:right w:w="108" w:type="dxa"/>
          </w:tblCellMar>
        </w:tblPrEx>
        <w:trPr>
          <w:trHeight w:val="4482" w:hRule="atLeast"/>
        </w:trPr>
        <w:tc>
          <w:tcPr>
            <w:tcW w:w="5000" w:type="pct"/>
            <w:vMerge w:val="restart"/>
            <w:tcBorders>
              <w:top w:val="nil"/>
              <w:left w:val="nil"/>
              <w:bottom w:val="nil"/>
              <w:right w:val="nil"/>
            </w:tcBorders>
            <w:shd w:val="clear" w:color="auto" w:fill="auto"/>
            <w:vAlign w:val="center"/>
          </w:tcPr>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1、收支总表</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2、收入总表</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3、支出总表</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4、支出预算分类汇总表（按政府预算经济分类）</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5、支出预算分类汇总表（按部门预算经济分类）</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6、财政拨款收支总表</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7、一般公共预算支出表</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8、一般公共预算基本支出表-人员经费（工资福利支出）（按政府预算经济分类）</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9、一般公共预算基本支出表-人员经费（工资福利支出）（按部门预算经济分类）</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10、一般公共预算基本支出表-人员经费（对个人和家庭的补助）（按政府预算经济分类）</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11、一般公共预算基本支出表-人员经费（对个人和家庭的补助）（按部门预算经济分类）</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12、一般公共预算基本支出表-</w:t>
            </w:r>
            <w:r>
              <w:rPr>
                <w:rFonts w:hint="eastAsia" w:ascii="仿宋_GB2312" w:hAnsi="宋体" w:eastAsia="仿宋_GB2312" w:cs="宋体"/>
                <w:color w:val="000000"/>
                <w:kern w:val="0"/>
                <w:sz w:val="28"/>
                <w:szCs w:val="28"/>
                <w:lang w:eastAsia="zh-CN"/>
              </w:rPr>
              <w:t>公用</w:t>
            </w:r>
            <w:r>
              <w:rPr>
                <w:rFonts w:hint="eastAsia" w:ascii="仿宋_GB2312" w:hAnsi="宋体" w:eastAsia="仿宋_GB2312" w:cs="宋体"/>
                <w:color w:val="000000"/>
                <w:kern w:val="0"/>
                <w:sz w:val="28"/>
                <w:szCs w:val="28"/>
              </w:rPr>
              <w:t>经费（商品和服务支出）（按政府预算经济分类）</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13、一般公共预算基本支出表-</w:t>
            </w:r>
            <w:r>
              <w:rPr>
                <w:rFonts w:hint="eastAsia" w:ascii="仿宋_GB2312" w:hAnsi="宋体" w:eastAsia="仿宋_GB2312" w:cs="宋体"/>
                <w:color w:val="000000"/>
                <w:kern w:val="0"/>
                <w:sz w:val="28"/>
                <w:szCs w:val="28"/>
                <w:lang w:eastAsia="zh-CN"/>
              </w:rPr>
              <w:t>公用</w:t>
            </w:r>
            <w:r>
              <w:rPr>
                <w:rFonts w:hint="eastAsia" w:ascii="仿宋_GB2312" w:hAnsi="宋体" w:eastAsia="仿宋_GB2312" w:cs="宋体"/>
                <w:color w:val="000000"/>
                <w:kern w:val="0"/>
                <w:sz w:val="28"/>
                <w:szCs w:val="28"/>
              </w:rPr>
              <w:t>经费（商品和服务支出）（按部门预算经济分类）</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14、一般公共预算“三公”经费支出表</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15、政府性基金预算支出表</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16、政府性基金预算支出分类汇总表（按政府预算经济分类）</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17、政府性基金预算支出分类汇总表（按部门预算经济分类）</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18、国有资本经营预算支出表</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19、财政专户管理资金预算支出表</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20、专项资金预算汇总表</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21、项目支出绩效目标表</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textAlignment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22、整体支出绩效目标表</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textAlignment w:val="center"/>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23、一般公共预算基本支出表</w:t>
            </w:r>
          </w:p>
          <w:p>
            <w:pPr>
              <w:widowControl/>
              <w:jc w:val="left"/>
              <w:rPr>
                <w:rFonts w:hint="eastAsia" w:ascii="仿宋_GB2312" w:hAnsi="宋体" w:eastAsia="仿宋_GB2312" w:cs="宋体"/>
                <w:color w:val="000000"/>
                <w:kern w:val="0"/>
                <w:sz w:val="28"/>
                <w:szCs w:val="28"/>
                <w:lang w:eastAsia="zh-CN"/>
              </w:rPr>
            </w:pPr>
          </w:p>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注：以上单位预算公开报表中，空表表示本单位无相关收支情况。</w:t>
            </w:r>
          </w:p>
        </w:tc>
      </w:tr>
      <w:tr>
        <w:tblPrEx>
          <w:tblCellMar>
            <w:top w:w="0" w:type="dxa"/>
            <w:left w:w="108" w:type="dxa"/>
            <w:bottom w:w="0" w:type="dxa"/>
            <w:right w:w="108" w:type="dxa"/>
          </w:tblCellMar>
        </w:tblPrEx>
        <w:trPr>
          <w:trHeight w:val="4482" w:hRule="atLeast"/>
        </w:trPr>
        <w:tc>
          <w:tcPr>
            <w:tcW w:w="5000" w:type="pct"/>
            <w:vMerge w:val="continue"/>
            <w:tcBorders>
              <w:top w:val="nil"/>
              <w:left w:val="nil"/>
              <w:bottom w:val="nil"/>
              <w:right w:val="nil"/>
            </w:tcBorders>
            <w:vAlign w:val="center"/>
          </w:tcPr>
          <w:p>
            <w:pPr>
              <w:widowControl/>
              <w:jc w:val="left"/>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840" w:hRule="atLeast"/>
        </w:trPr>
        <w:tc>
          <w:tcPr>
            <w:tcW w:w="5000" w:type="pct"/>
            <w:tcBorders>
              <w:top w:val="nil"/>
              <w:left w:val="nil"/>
              <w:bottom w:val="nil"/>
              <w:right w:val="nil"/>
            </w:tcBorders>
            <w:shd w:val="clear" w:color="auto" w:fill="auto"/>
            <w:vAlign w:val="center"/>
          </w:tcPr>
          <w:p>
            <w:pPr>
              <w:widowControl/>
              <w:jc w:val="center"/>
              <w:rPr>
                <w:rFonts w:ascii="黑体" w:hAnsi="黑体" w:eastAsia="黑体" w:cs="宋体"/>
                <w:color w:val="000000"/>
                <w:kern w:val="0"/>
                <w:sz w:val="36"/>
                <w:szCs w:val="36"/>
              </w:rPr>
            </w:pPr>
            <w:r>
              <w:rPr>
                <w:rFonts w:hint="eastAsia" w:ascii="黑体" w:hAnsi="黑体" w:eastAsia="黑体" w:cs="宋体"/>
                <w:color w:val="000000"/>
                <w:kern w:val="0"/>
                <w:sz w:val="36"/>
                <w:szCs w:val="36"/>
              </w:rPr>
              <w:t>第一部分  2022年单位预算说明</w:t>
            </w:r>
          </w:p>
        </w:tc>
      </w:tr>
      <w:tr>
        <w:tblPrEx>
          <w:tblCellMar>
            <w:top w:w="0" w:type="dxa"/>
            <w:left w:w="108" w:type="dxa"/>
            <w:bottom w:w="0" w:type="dxa"/>
            <w:right w:w="108" w:type="dxa"/>
          </w:tblCellMar>
        </w:tblPrEx>
        <w:trPr>
          <w:trHeight w:val="678" w:hRule="atLeast"/>
        </w:trPr>
        <w:tc>
          <w:tcPr>
            <w:tcW w:w="5000" w:type="pct"/>
            <w:tcBorders>
              <w:top w:val="nil"/>
              <w:left w:val="nil"/>
              <w:bottom w:val="nil"/>
              <w:right w:val="nil"/>
            </w:tcBorders>
            <w:shd w:val="clear" w:color="auto" w:fill="auto"/>
            <w:vAlign w:val="center"/>
          </w:tcPr>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一、单位基本概况</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（一）职能职责</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⑴负责宣传贯彻落实国家、省、市关于公路(含公路桥梁、公路隧道、公路涵洞、公路渡口，下同)建设、养护的法律法规规章和方针政策;行使全市国、省干线公路的建设、养护等相关职能。 </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⑵参与拟订全市公路行业发展战略、中长期发展规划;参与全市国、省干线公路的建设、养护年度计划的编制和计划执行的检查、指导。</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⑶协助主管部门编制全市国、省干线公路养护资金的建议计划;负责指导、协调所属养护生产单位的建设、养护具体工作。</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⑷负责全市国、省干线公路安全生产管理工作。</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⑸负责全市公路路网运行监测和公路信息化建设;负责全市国、省干线公路因自然灾害和突发事件引起损毁时的抢险抢修保通工作;负责公路应急物资储备和应急设备保障，统一指挥全市国、省干线公路应急抢险救援工作。</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⑹负责全市国、省干线公路的安全保护;负责涉路行政审批的前置技术审核和涉路施工组织方案的安全风险评估，为涉路施工审批提供技术支撑;维护养护作业现场秩序;配合交通综合执法机构对公路路产损坏赔补偿进行调查取证，执行路损恢复预算与计划。</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⑺负责对全市农村公路养护进行行业指导,协助主管部门编制全市农村公路养护资金的建议计划。</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⑻在市交通战备办的指导下，做好全市国、省干线公路的战备规划及实施工作，保证战时国、省干线公路的畅通。</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⑼承办市委、市政府和市交通运输局交办的其他事项。</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（二）机构设置</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内设机构（12个）：综合部、公路养护部、工程建设部、计划统计部、农村公路部、安全事务部、路产路权事务部、国有资产管理部、财务部、法规（信访）事务部、审计事务部、人事部。</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所属事业单位（4个）：市区公路建设和养护中心、市公路物资供应站（市公路应急物资储备中心）、市公路科技服务中心、市107国道养护中心。    </w:t>
            </w:r>
          </w:p>
          <w:p>
            <w:pPr>
              <w:widowControl/>
              <w:jc w:val="left"/>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rPr>
              <w:t>二、单位预算单位构成</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本单位预算仅含本级预算</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三、单位收支总体情况</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（一）收入预算</w:t>
            </w:r>
          </w:p>
        </w:tc>
      </w:tr>
      <w:tr>
        <w:tblPrEx>
          <w:tblCellMar>
            <w:top w:w="0" w:type="dxa"/>
            <w:left w:w="108" w:type="dxa"/>
            <w:bottom w:w="0" w:type="dxa"/>
            <w:right w:w="108" w:type="dxa"/>
          </w:tblCellMar>
        </w:tblPrEx>
        <w:trPr>
          <w:trHeight w:val="187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包括一般公共预算、政府性基金、国有资本经营预算等财政拨款收入，以及经营收入、事业收入等单位资金。2022年本单位收入预算8715.4万元，其中，一般公共预算拨款8715.4万元，政府性基金预算拨款0万元，所以公开的附件15-17（政府性基金预算）为空,国有资本经营预算拨款0万元，所以公开的附表18（国有资本经营预算）为空,财政专户管理资金0万元，所以公开的附表19表（财政专户管理资金预算）为空，上级补助收入0万元，事业单位经营收入0万元，上年结转结余0万元。</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收入较去年增加1465.03万元，主要是因为人员工资津补贴、社会保障缴费等财政全额补助。</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（二）支出预算</w:t>
            </w:r>
          </w:p>
        </w:tc>
      </w:tr>
      <w:tr>
        <w:tblPrEx>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right="0" w:rightChars="0" w:firstLine="560"/>
              <w:jc w:val="both"/>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2022年本单位支出预算8715.4万元，其中，交通运输支出8715.4万元，占比100.00%。支出较去年增加1465.03万元，其中基本支出减少842.51万元，项目支出增加2307.54万元。其中基本支出较上年减少主要是因为君山、云溪公路建设和养护中心下放至区一级，项目支出增加主要是因为人员工会经费补助、伙食补助、物业服务补贴、综合绩效奖和平安岳阳建设奖等项目支出财政全额拨款。</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right="0" w:rightChars="0" w:firstLine="560"/>
              <w:jc w:val="both"/>
              <w:textAlignment w:val="center"/>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2022年预算公开文档第三大点（对应表3）、第四大点（对应表7）中的金额和百分比，由于预算编制时金额明细到了“分”，而公开表格显示和公</w:t>
            </w:r>
            <w:bookmarkStart w:id="0" w:name="_GoBack"/>
            <w:bookmarkEnd w:id="0"/>
            <w:r>
              <w:rPr>
                <w:rFonts w:hint="eastAsia" w:ascii="仿宋_GB2312" w:hAnsi="宋体" w:eastAsia="仿宋_GB2312" w:cs="宋体"/>
                <w:kern w:val="0"/>
                <w:sz w:val="28"/>
                <w:szCs w:val="28"/>
                <w:lang w:val="en-US" w:eastAsia="zh-CN"/>
              </w:rPr>
              <w:t>开文档取数只到“百元”，可能导致0.01的尾数差异。</w:t>
            </w:r>
          </w:p>
          <w:p>
            <w:pPr>
              <w:widowControl/>
              <w:jc w:val="left"/>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四、一般公共预算拨款支出预算</w:t>
            </w:r>
          </w:p>
        </w:tc>
      </w:tr>
      <w:tr>
        <w:tblPrEx>
          <w:tblCellMar>
            <w:top w:w="0" w:type="dxa"/>
            <w:left w:w="108" w:type="dxa"/>
            <w:bottom w:w="0" w:type="dxa"/>
            <w:right w:w="108" w:type="dxa"/>
          </w:tblCellMar>
        </w:tblPrEx>
        <w:trPr>
          <w:trHeight w:val="126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2022年本单位一般公共预算拨款支出预算8715.4万元，其中，交通运输支出8715.4万元，占比100.00%。具体安排情况如下：</w:t>
            </w:r>
          </w:p>
        </w:tc>
      </w:tr>
      <w:tr>
        <w:tblPrEx>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一）基本支出：2022年基本支出年初预算数为5577.86万元（数据来源见表7），是指为保障单位机构正常运转、完成日常工作任务而发生的各项支出，包括用于基本工资、津贴补贴等人员经费以及办公费、印刷费、水电费、差旅费等日常公用经费。</w:t>
            </w:r>
          </w:p>
        </w:tc>
      </w:tr>
      <w:tr>
        <w:tblPrEx>
          <w:tblCellMar>
            <w:top w:w="0" w:type="dxa"/>
            <w:left w:w="108" w:type="dxa"/>
            <w:bottom w:w="0" w:type="dxa"/>
            <w:right w:w="108" w:type="dxa"/>
          </w:tblCellMar>
        </w:tblPrEx>
        <w:trPr>
          <w:trHeight w:val="150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二）项目支出：2022年项目支出年初预算数为3137.54万元，是指单位为完成特定行政工作任务或事业发展目标而发生的支出，包括有关业务工作经费、运行维护经费等。其中：工会经费补助支出320.7万元；伙食补助支出403.6万元；物业服务补贴363.24万元；综合绩效奖和平安岳阳建设奖支出2018万元；湘北大道配套设施维护和道路保洁经费50万元。</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五、政府性基金预算支出</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2022年度本单位无政府性基金安排的支出，所以公开的附件15-17（政府性基金预算）为空。</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六、其他重要事项的情况说明</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（一）机关运行经费</w:t>
            </w:r>
          </w:p>
        </w:tc>
      </w:tr>
      <w:tr>
        <w:tblPrEx>
          <w:tblCellMar>
            <w:top w:w="0" w:type="dxa"/>
            <w:left w:w="108" w:type="dxa"/>
            <w:bottom w:w="0" w:type="dxa"/>
            <w:right w:w="108" w:type="dxa"/>
          </w:tblCellMar>
        </w:tblPrEx>
        <w:trPr>
          <w:trHeight w:val="85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本单位2022年机关运行经费当年一般公共预算拨款372.66万元，比上一年减少362.29万元，降低49.3%。主要原因是财政预算强制压缩经费导致。</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（二）“三公”经费预算</w:t>
            </w:r>
          </w:p>
        </w:tc>
      </w:tr>
      <w:tr>
        <w:tblPrEx>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2022年本单位“三公”经费预算数63万元（数据来源见表14），其中，公务接待费0万元，因公出国（境）费0万元，公务用车购置及运行费63万元（其中，公务用车购置费0万元，公务用车运行费63万元）。比上一年减少132.98万元，降低67.85%，主要原因是财政预算强制压缩经费导致。</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（三）一般性支出情况</w:t>
            </w:r>
          </w:p>
        </w:tc>
      </w:tr>
      <w:tr>
        <w:tblPrEx>
          <w:tblCellMar>
            <w:top w:w="0" w:type="dxa"/>
            <w:left w:w="108" w:type="dxa"/>
            <w:bottom w:w="0" w:type="dxa"/>
            <w:right w:w="108" w:type="dxa"/>
          </w:tblCellMar>
        </w:tblPrEx>
        <w:trPr>
          <w:trHeight w:val="150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本单位2022年会议费预算17.08万元，培训费20万元。</w:t>
            </w:r>
            <w:r>
              <w:rPr>
                <w:rFonts w:hint="eastAsia" w:ascii="仿宋_GB2312" w:hAnsi="宋体" w:eastAsia="仿宋_GB2312" w:cs="宋体"/>
                <w:kern w:val="0"/>
                <w:sz w:val="28"/>
                <w:szCs w:val="28"/>
                <w:lang w:val="en-US" w:eastAsia="zh-CN"/>
              </w:rPr>
              <w:t>会议费预算17.08万元，拟召开八次会议，共530人参会，内容为公路工作会、“七一”表彰会、“公路大讲堂”学习、安全例会、上级调研、年度考核会、主任办公会、全面从严治党推进会等；培训费预算20万元，拟开展3次培训，内容为：1、事业单位工作人员（非参公人员）培训，人数500人；2、专业培训，工程技术人员20人，财务人员20人，信息文秘人员20人；3、岗前培训，拟新招3人。</w:t>
            </w:r>
            <w:r>
              <w:rPr>
                <w:rFonts w:hint="eastAsia" w:ascii="仿宋_GB2312" w:hAnsi="宋体" w:eastAsia="仿宋_GB2312" w:cs="宋体"/>
                <w:kern w:val="0"/>
                <w:sz w:val="28"/>
                <w:szCs w:val="28"/>
              </w:rPr>
              <w:t>2022年度本单位未计划举办节庆、晚会、论坛、赛事活动。</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（四）政府采购情况</w:t>
            </w:r>
          </w:p>
        </w:tc>
      </w:tr>
      <w:tr>
        <w:tblPrEx>
          <w:tblCellMar>
            <w:top w:w="0" w:type="dxa"/>
            <w:left w:w="108" w:type="dxa"/>
            <w:bottom w:w="0" w:type="dxa"/>
            <w:right w:w="108" w:type="dxa"/>
          </w:tblCellMar>
        </w:tblPrEx>
        <w:trPr>
          <w:trHeight w:val="75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2022年度本单位未安排政府采购预算。</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（五）国有资产占有使用及新增资产配置情况</w:t>
            </w:r>
          </w:p>
        </w:tc>
      </w:tr>
      <w:tr>
        <w:tblPrEx>
          <w:tblCellMar>
            <w:top w:w="0" w:type="dxa"/>
            <w:left w:w="108" w:type="dxa"/>
            <w:bottom w:w="0" w:type="dxa"/>
            <w:right w:w="108" w:type="dxa"/>
          </w:tblCellMar>
        </w:tblPrEx>
        <w:trPr>
          <w:trHeight w:val="3000" w:hRule="atLeast"/>
        </w:trPr>
        <w:tc>
          <w:tcPr>
            <w:tcW w:w="5000" w:type="pct"/>
            <w:tcBorders>
              <w:top w:val="nil"/>
              <w:left w:val="nil"/>
              <w:bottom w:val="nil"/>
              <w:right w:val="nil"/>
            </w:tcBorders>
            <w:shd w:val="clear" w:color="auto" w:fill="auto"/>
            <w:vAlign w:val="center"/>
          </w:tcPr>
          <w:p>
            <w:pPr>
              <w:widowControl/>
              <w:jc w:val="left"/>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rPr>
              <w:t xml:space="preserve">   截至上一年12月底，本单位共有车辆21辆，其中一般公务用车3辆，其他用车18辆。单位价值50万元以上通用设备0台，单位价值100万元以上专用设备（专项作业车）1台。</w:t>
            </w:r>
          </w:p>
          <w:p>
            <w:pPr>
              <w:widowControl/>
              <w:jc w:val="left"/>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rPr>
              <w:t xml:space="preserve">    2022年拟报废处置公务用车0辆，拟新增配置车辆0辆，其中领导干部用车0辆，一般公务用车0辆，其他用车0辆。</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2022年拟新增配备领导干部用车0辆，一般公务用车0辆，其他用车0辆，新增配备单位价值50万元以上通用设备0台，单位价值100万元以上专用设备0台。2022年度本单位未计划处置或新增车辆、设备等。</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（六）预算绩效目标说明</w:t>
            </w:r>
          </w:p>
        </w:tc>
      </w:tr>
      <w:tr>
        <w:tblPrEx>
          <w:tblCellMar>
            <w:top w:w="0" w:type="dxa"/>
            <w:left w:w="108" w:type="dxa"/>
            <w:bottom w:w="0" w:type="dxa"/>
            <w:right w:w="108" w:type="dxa"/>
          </w:tblCellMar>
        </w:tblPrEx>
        <w:trPr>
          <w:trHeight w:val="75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本单位所有支出实行绩效目标管理。纳入2022年部门整体支出绩效目标的金额为8715.4万元，其中，基本支出5577.86万元，项目支出3137.54万元，详见文尾附表中单位预算公开表格的表21-22。</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七、名词解释</w:t>
            </w:r>
          </w:p>
        </w:tc>
      </w:tr>
      <w:tr>
        <w:tblPrEx>
          <w:tblCellMar>
            <w:top w:w="0" w:type="dxa"/>
            <w:left w:w="108" w:type="dxa"/>
            <w:bottom w:w="0" w:type="dxa"/>
            <w:right w:w="108" w:type="dxa"/>
          </w:tblCellMar>
        </w:tblPrEx>
        <w:trPr>
          <w:trHeight w:val="3000" w:hRule="atLeast"/>
        </w:trPr>
        <w:tc>
          <w:tcPr>
            <w:tcW w:w="5000"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2、“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tc>
      </w:tr>
      <w:tr>
        <w:tblPrEx>
          <w:tblCellMar>
            <w:top w:w="0" w:type="dxa"/>
            <w:left w:w="108" w:type="dxa"/>
            <w:bottom w:w="0" w:type="dxa"/>
            <w:right w:w="108" w:type="dxa"/>
          </w:tblCellMar>
        </w:tblPrEx>
        <w:trPr>
          <w:trHeight w:val="900" w:hRule="atLeast"/>
        </w:trPr>
        <w:tc>
          <w:tcPr>
            <w:tcW w:w="5000" w:type="pct"/>
            <w:tcBorders>
              <w:top w:val="nil"/>
              <w:left w:val="nil"/>
              <w:bottom w:val="nil"/>
              <w:right w:val="nil"/>
            </w:tcBorders>
            <w:shd w:val="clear" w:color="auto" w:fill="auto"/>
            <w:vAlign w:val="center"/>
          </w:tcPr>
          <w:p>
            <w:pPr>
              <w:widowControl/>
              <w:jc w:val="center"/>
              <w:rPr>
                <w:rFonts w:ascii="黑体" w:hAnsi="黑体" w:eastAsia="黑体" w:cs="宋体"/>
                <w:color w:val="000000"/>
                <w:kern w:val="0"/>
                <w:sz w:val="36"/>
                <w:szCs w:val="36"/>
              </w:rPr>
            </w:pPr>
            <w:r>
              <w:rPr>
                <w:rFonts w:hint="eastAsia" w:ascii="黑体" w:hAnsi="黑体" w:eastAsia="黑体" w:cs="宋体"/>
                <w:color w:val="000000"/>
                <w:kern w:val="0"/>
                <w:sz w:val="36"/>
                <w:szCs w:val="36"/>
              </w:rPr>
              <w:t>第二部分  2022年单位预算公开表格</w:t>
            </w:r>
          </w:p>
        </w:tc>
      </w:tr>
      <w:tr>
        <w:tblPrEx>
          <w:tblCellMar>
            <w:top w:w="0" w:type="dxa"/>
            <w:left w:w="108" w:type="dxa"/>
            <w:bottom w:w="0" w:type="dxa"/>
            <w:right w:w="108" w:type="dxa"/>
          </w:tblCellMar>
        </w:tblPrEx>
        <w:trPr>
          <w:trHeight w:val="8190" w:hRule="atLeast"/>
        </w:trPr>
        <w:tc>
          <w:tcPr>
            <w:tcW w:w="5000" w:type="pct"/>
            <w:tcBorders>
              <w:top w:val="nil"/>
              <w:left w:val="nil"/>
              <w:bottom w:val="nil"/>
              <w:right w:val="nil"/>
            </w:tcBorders>
            <w:shd w:val="clear" w:color="auto" w:fill="auto"/>
            <w:vAlign w:val="center"/>
          </w:tcPr>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1、收支总表</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2、收入总表</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3、支出总表</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4、支出预算分类汇总表（按政府预算经济分类）</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5、支出预算分类汇总表（按部门预算经济分类）</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6、财政拨款收支总表</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7、一般公共预算支出表</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8、一般公共预算基本支出表-人员经费（工资福利支出）（按政府预算经济分类）</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9、一般公共预算基本支出表-人员经费（工资福利支出）（按部门预算经济分类）</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10、一般公共预算基本支出表-人员经费（对个人和家庭的补助）（按政府预算经济分类）</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11、一般公共预算基本支出表-人员经费（对个人和家庭的补助）（按部门预算经济分类）</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12、一般公共预算基本支出表-</w:t>
            </w:r>
            <w:r>
              <w:rPr>
                <w:rFonts w:hint="eastAsia" w:ascii="仿宋_GB2312" w:hAnsi="宋体" w:eastAsia="仿宋_GB2312" w:cs="宋体"/>
                <w:color w:val="000000"/>
                <w:kern w:val="0"/>
                <w:sz w:val="28"/>
                <w:szCs w:val="28"/>
                <w:lang w:eastAsia="zh-CN"/>
              </w:rPr>
              <w:t>公用</w:t>
            </w:r>
            <w:r>
              <w:rPr>
                <w:rFonts w:hint="eastAsia" w:ascii="仿宋_GB2312" w:hAnsi="宋体" w:eastAsia="仿宋_GB2312" w:cs="宋体"/>
                <w:color w:val="000000"/>
                <w:kern w:val="0"/>
                <w:sz w:val="28"/>
                <w:szCs w:val="28"/>
              </w:rPr>
              <w:t>经费（商品和服务支出）（按政府预算经济分类）</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13、一般公共预算基本支出表-</w:t>
            </w:r>
            <w:r>
              <w:rPr>
                <w:rFonts w:hint="eastAsia" w:ascii="仿宋_GB2312" w:hAnsi="宋体" w:eastAsia="仿宋_GB2312" w:cs="宋体"/>
                <w:color w:val="000000"/>
                <w:kern w:val="0"/>
                <w:sz w:val="28"/>
                <w:szCs w:val="28"/>
                <w:lang w:eastAsia="zh-CN"/>
              </w:rPr>
              <w:t>公用</w:t>
            </w:r>
            <w:r>
              <w:rPr>
                <w:rFonts w:hint="eastAsia" w:ascii="仿宋_GB2312" w:hAnsi="宋体" w:eastAsia="仿宋_GB2312" w:cs="宋体"/>
                <w:color w:val="000000"/>
                <w:kern w:val="0"/>
                <w:sz w:val="28"/>
                <w:szCs w:val="28"/>
              </w:rPr>
              <w:t>经费（商品和服务支出）（按部门预算经济分类）</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14、一般公共预算“三公”经费支出表</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15、政府性基金预算支出表</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16、政府性基金预算支出分类汇总表（按政府预算经济分类）</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17、政府性基金预算支出分类汇总表（按部门预算经济分类）</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18、国有资本经营预算支出表</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19、财政专户管理资金预算支出表</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20、专项资金预算汇总表</w:t>
            </w:r>
          </w:p>
          <w:p>
            <w:pPr>
              <w:widowControl/>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rPr>
              <w:t>21、项目支出绩效目标表</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textAlignment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22、整体支出绩效目标表</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textAlignment w:val="center"/>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23、一般公共预算基本支出表</w:t>
            </w:r>
          </w:p>
          <w:p>
            <w:pPr>
              <w:widowControl/>
              <w:jc w:val="left"/>
              <w:rPr>
                <w:rFonts w:hint="eastAsia" w:ascii="仿宋_GB2312" w:hAnsi="宋体" w:eastAsia="仿宋_GB2312" w:cs="宋体"/>
                <w:color w:val="000000"/>
                <w:kern w:val="0"/>
                <w:sz w:val="28"/>
                <w:szCs w:val="28"/>
                <w:lang w:eastAsia="zh-CN"/>
              </w:rPr>
            </w:pPr>
          </w:p>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注：以上单位预算公开报表中，空表表示本单位无相关收支情况。</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Q4MmQzMzY3MWU0ZjkwNjE0ZTcwMzYzOGVmOWE5YTYifQ=="/>
  </w:docVars>
  <w:rsids>
    <w:rsidRoot w:val="001509F8"/>
    <w:rsid w:val="001509F8"/>
    <w:rsid w:val="00E46D34"/>
    <w:rsid w:val="12B024C8"/>
    <w:rsid w:val="1B471BFE"/>
    <w:rsid w:val="24FA6016"/>
    <w:rsid w:val="35D52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szCs w:val="24"/>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99"/>
    <w:pPr>
      <w:spacing w:beforeAutospacing="1" w:afterAutospacing="1"/>
      <w:jc w:val="left"/>
    </w:pPr>
    <w:rPr>
      <w:kern w:val="0"/>
      <w:sz w:val="24"/>
      <w:szCs w:val="24"/>
    </w:rPr>
  </w:style>
  <w:style w:type="character" w:customStyle="1" w:styleId="8">
    <w:name w:val="页眉 Char"/>
    <w:basedOn w:val="7"/>
    <w:link w:val="3"/>
    <w:semiHidden/>
    <w:uiPriority w:val="99"/>
    <w:rPr>
      <w:sz w:val="18"/>
      <w:szCs w:val="18"/>
    </w:rPr>
  </w:style>
  <w:style w:type="character" w:customStyle="1" w:styleId="9">
    <w:name w:val="页脚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Pages>
  <Words>3667</Words>
  <Characters>3935</Characters>
  <Lines>28</Lines>
  <Paragraphs>7</Paragraphs>
  <TotalTime>0</TotalTime>
  <ScaleCrop>false</ScaleCrop>
  <LinksUpToDate>false</LinksUpToDate>
  <CharactersWithSpaces>4009</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2023-06-08T08:04:00Z</dcterms:created>
  <dc:creator>PC</dc:creator>
  <cp:lastModifiedBy>彬彬华圣酒店海外购</cp:lastModifiedBy>
  <dcterms:modified xsi:type="dcterms:W3CDTF">2023-09-23T06:19:30Z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E10BE31328B443E7B7D8BC746F2C5E0D_12</vt:lpwstr>
  </property>
</Properties>
</file>