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岳阳市道路运输服务中心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部门（单位）整体支出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（盖章）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年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 月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（此页为封面）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岳阳市道路运输服务中心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部门（单位）基本情况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市道路运输服务中心</w:t>
      </w:r>
      <w:r>
        <w:rPr>
          <w:rFonts w:hint="eastAsia" w:ascii="仿宋_GB2312" w:hAnsi="仿宋_GB2312" w:eastAsia="仿宋_GB2312" w:cs="仿宋_GB2312"/>
          <w:sz w:val="32"/>
          <w:szCs w:val="40"/>
        </w:rPr>
        <w:t>核定全额拔款事业编制90名。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经费渠道为财政全额拨款。</w:t>
      </w:r>
      <w:r>
        <w:rPr>
          <w:rFonts w:hint="eastAsia" w:ascii="仿宋_GB2312" w:hAnsi="仿宋_GB2312" w:eastAsia="仿宋_GB2312" w:cs="仿宋_GB2312"/>
          <w:sz w:val="32"/>
          <w:szCs w:val="40"/>
        </w:rPr>
        <w:t>单位现实有在编人员8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</w:rPr>
        <w:t>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</w:rPr>
        <w:t>023年度招录公开招聘人员2人，招录四海揽才人员6人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核定领导职数6名，设主任（副处级）1名，党委副职（正科级）5名（其中党委专职副书记1名）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>内设机构副科级领导职数11名（含党委办主任1名）；分支机构正科级领导职数3名、副科级领导职数6名。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>
      <w:pPr>
        <w:numPr>
          <w:ilvl w:val="0"/>
          <w:numId w:val="0"/>
        </w:numPr>
        <w:snapToGrid w:val="0"/>
        <w:spacing w:line="520" w:lineRule="exact"/>
        <w:ind w:left="840" w:leftChars="0" w:firstLine="0" w:firstLineChars="0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总体情况：2023年度部门支出数为1507.43万元，其中工资福利支出总数为1216.08万元，占总支出的80.6%；商品和服务支出总数为151.12万元，占总支出的10.2%；对个人和家庭的补助总数为106.22万元，占总支出的7.0%；资本性支出总数为34万元，占总支出的2.2%。</w:t>
      </w:r>
    </w:p>
    <w:p>
      <w:pPr>
        <w:numPr>
          <w:ilvl w:val="0"/>
          <w:numId w:val="0"/>
        </w:numPr>
        <w:snapToGrid w:val="0"/>
        <w:spacing w:line="520" w:lineRule="exact"/>
        <w:ind w:left="840" w:leftChars="0" w:firstLine="0" w:firstLineChars="0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仿宋_GB2312" w:hAnsi="仿宋" w:eastAsia="仿宋_GB2312"/>
          <w:b w:val="0"/>
          <w:bCs/>
          <w:sz w:val="32"/>
          <w:szCs w:val="32"/>
          <w:lang w:val="en-US" w:eastAsia="zh-CN"/>
        </w:rPr>
        <w:t>（2）</w:t>
      </w:r>
      <w:r>
        <w:rPr>
          <w:rFonts w:hint="eastAsia" w:ascii="仿宋_GB2312" w:hAnsi="仿宋" w:eastAsia="仿宋_GB2312"/>
          <w:sz w:val="32"/>
          <w:szCs w:val="32"/>
        </w:rPr>
        <w:t>“三公”经费支出情况：“三公”经费财政拨款支出预算为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25.18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支出为2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.51</w:t>
      </w:r>
      <w:r>
        <w:rPr>
          <w:rFonts w:hint="eastAsia" w:ascii="仿宋_GB2312" w:hAnsi="仿宋" w:eastAsia="仿宋_GB2312"/>
          <w:sz w:val="32"/>
          <w:szCs w:val="32"/>
        </w:rPr>
        <w:t>万元，完成预算的100%，其中：公务用车运行维护费支出预算为2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.08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支出为2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0.83</w:t>
      </w:r>
      <w:r>
        <w:rPr>
          <w:rFonts w:hint="eastAsia" w:ascii="仿宋_GB2312" w:hAnsi="仿宋" w:eastAsia="仿宋_GB2312"/>
          <w:sz w:val="32"/>
          <w:szCs w:val="32"/>
        </w:rPr>
        <w:t>万元，完成预算的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0%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公务接待费支出预算为0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.43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/>
          <w:sz w:val="32"/>
          <w:szCs w:val="32"/>
        </w:rPr>
        <w:t>支出为0.4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万元，完成预算的100%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项目支出情况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项目支出总数为22万元，分别为地方铁路安全监管专项14万元，非税收入直接征收成本8万元。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部门年度完成</w:t>
      </w:r>
      <w:r>
        <w:rPr>
          <w:rFonts w:hint="eastAsia" w:ascii="仿宋_GB2312" w:hAnsi="仿宋" w:eastAsia="仿宋_GB2312"/>
          <w:sz w:val="32"/>
          <w:szCs w:val="32"/>
        </w:rPr>
        <w:t>一级项目和二级项目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绩效目标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，完成产出指标的数量指标值，客运、货运业务办理完成率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95%，完成地方铁路1450万吨货运量，完成从业人员2000人的培训；达成效益指标的经济效益，减税降费达到100万元。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三、政府性基金预算支出情况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黑体"/>
          <w:color w:val="000000"/>
          <w:kern w:val="0"/>
          <w:sz w:val="32"/>
          <w:szCs w:val="32"/>
          <w:lang w:val="en-US" w:eastAsia="zh-CN" w:bidi="ar-SA"/>
        </w:rPr>
        <w:t>无政府性基金预算支出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国有资本经营预算支出情况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" w:eastAsia="仿宋_GB2312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黑体"/>
          <w:color w:val="000000"/>
          <w:kern w:val="0"/>
          <w:sz w:val="32"/>
          <w:szCs w:val="32"/>
          <w:lang w:val="en-US" w:eastAsia="zh-CN" w:bidi="ar-SA"/>
        </w:rPr>
        <w:t xml:space="preserve"> 无</w:t>
      </w:r>
      <w:r>
        <w:rPr>
          <w:rFonts w:hint="default" w:ascii="仿宋_GB2312" w:hAnsi="仿宋" w:eastAsia="仿宋_GB2312" w:cs="黑体"/>
          <w:color w:val="000000"/>
          <w:kern w:val="0"/>
          <w:sz w:val="32"/>
          <w:szCs w:val="32"/>
          <w:lang w:val="en-US" w:eastAsia="zh-CN" w:bidi="ar-SA"/>
        </w:rPr>
        <w:t>国有资本经营预算支出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无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社会保险基金预算支出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六、部门整体支出绩效情况</w:t>
      </w:r>
    </w:p>
    <w:p>
      <w:pPr>
        <w:ind w:firstLine="960" w:firstLineChars="300"/>
        <w:rPr>
          <w:rFonts w:hint="eastAsia" w:eastAsia="仿宋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我中心较好地完成了202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设定的工作任务，各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得到有序开展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坚持服务至上理念，推进运输结构调整,服务运输经济发展，</w:t>
      </w:r>
      <w:r>
        <w:rPr>
          <w:rFonts w:hint="eastAsia" w:ascii="仿宋" w:hAnsi="仿宋" w:eastAsia="仿宋"/>
          <w:sz w:val="32"/>
          <w:szCs w:val="32"/>
          <w:lang w:eastAsia="zh-CN"/>
        </w:rPr>
        <w:t>主要事业成效如下：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引导和支持客运站综合开发，鼓励和规范定制客运发展，全市开通线路9条、车辆118辆。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碳达峰碳中和稳步推进，新上纯电网约车9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39</w:t>
      </w:r>
      <w:r>
        <w:rPr>
          <w:rFonts w:hint="eastAsia" w:ascii="仿宋" w:hAnsi="仿宋" w:eastAsia="仿宋" w:cs="仿宋"/>
          <w:sz w:val="32"/>
          <w:szCs w:val="32"/>
          <w:lang w:bidi="ar"/>
        </w:rPr>
        <w:t>台，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是</w:t>
      </w:r>
      <w:r>
        <w:rPr>
          <w:rFonts w:hint="eastAsia" w:ascii="仿宋" w:hAnsi="仿宋" w:eastAsia="仿宋" w:cs="仿宋"/>
          <w:sz w:val="32"/>
          <w:szCs w:val="32"/>
          <w:lang w:bidi="ar"/>
        </w:rPr>
        <w:t>2022 年底的 8倍多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全市 90 台出租车完成“油换电”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办理出租车注册、注销服务监督卡3256张，续牌办理道路运输证228台。客运车辆年审513台次，审核换领旅游客运包车牌1.25万张;完成普货年审4448台，危货审验788台，办理电子运单19.78万条。举办客、危、出租车从业资格培训班32期，完成培训3171人，考核合格2435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解决中心城区“两客一危”企业日常巡查查摆隐患问题98个，整改98个，警示约谈企业负责人11次，安全巡查覆盖率100%，对全市14家涉铁企业32个道口开展“隐患清零”专项检查9次，整治铁路沿线安全隐患308处。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开展使得区域内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经济效益、社会效益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得以提升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，到年底完成全部项目的100%，资金拨付达到90%，完成项目验收率达到100%。区域内的铁路运输得到保障，为区域内经济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创造了条件，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为当地带来较为良好的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影响当地经济发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社会公众的满意度非常高。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缺乏明确的绩效评价指标，难以量化和细化，评价标准过于抽象，不易理解和执行；缺乏有效的预算执行监督机制。原因一是没有加强预算执行监督，提高财务透明度，二是没有简化绩效管理流程，没有优化跨部门协作，财务管理的信息化水平有待提高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下一步改进措施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进一步促进和完善财务管理制度及内部控制，加强预算管理、严格预算执行，严格按照财政预算标准支付各项费用。加强日常</w:t>
      </w:r>
      <w:r>
        <w:rPr>
          <w:rFonts w:hint="eastAsia" w:eastAsia="仿宋" w:cs="仿宋"/>
          <w:sz w:val="32"/>
          <w:szCs w:val="32"/>
          <w:lang w:eastAsia="zh-CN"/>
        </w:rPr>
        <w:t>铁路监管</w:t>
      </w:r>
      <w:r>
        <w:rPr>
          <w:rFonts w:hint="eastAsia" w:ascii="仿宋" w:hAnsi="仿宋" w:eastAsia="仿宋" w:cs="仿宋"/>
          <w:sz w:val="32"/>
          <w:szCs w:val="32"/>
        </w:rPr>
        <w:t>的巡查力度，稳步提升</w:t>
      </w:r>
      <w:r>
        <w:rPr>
          <w:rFonts w:hint="eastAsia" w:eastAsia="仿宋" w:cs="仿宋"/>
          <w:sz w:val="32"/>
          <w:szCs w:val="32"/>
          <w:lang w:eastAsia="zh-CN"/>
        </w:rPr>
        <w:t>铁路交通运力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部门整体支出绩效自评结果拟应用和公开情况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年本单位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年初工作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计划与目标管理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，围绕市委、市政府以及省局的工作部署，积极履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，强化管理，较好地完成了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年工作目标，同时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严格执行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管理，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完善内控制度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，提升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单位整体支出效率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。在规定时限内对202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年部门整体支出绩效自评报告在岳阳市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交通运输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局门户网站进行公开。</w:t>
      </w:r>
    </w:p>
    <w:p>
      <w:pPr>
        <w:spacing w:line="560" w:lineRule="exact"/>
        <w:ind w:firstLine="640" w:firstLineChars="200"/>
        <w:rPr>
          <w:rFonts w:hint="eastAsia" w:eastAsia="仿宋" w:cs="仿宋"/>
          <w:sz w:val="32"/>
          <w:szCs w:val="32"/>
          <w:lang w:eastAsia="zh-CN"/>
        </w:rPr>
      </w:pPr>
      <w:r>
        <w:rPr>
          <w:rFonts w:hint="eastAsia" w:eastAsia="仿宋" w:cs="仿宋"/>
          <w:sz w:val="32"/>
          <w:szCs w:val="32"/>
          <w:lang w:eastAsia="zh-CN"/>
        </w:rPr>
        <w:t>报告需要以下附件:</w:t>
      </w:r>
    </w:p>
    <w:p>
      <w:pPr>
        <w:numPr>
          <w:ilvl w:val="0"/>
          <w:numId w:val="6"/>
        </w:numPr>
        <w:spacing w:line="560" w:lineRule="exact"/>
        <w:ind w:firstLine="640" w:firstLineChars="200"/>
        <w:rPr>
          <w:rFonts w:hint="eastAsia" w:eastAsia="仿宋" w:cs="仿宋"/>
          <w:sz w:val="32"/>
          <w:szCs w:val="32"/>
          <w:lang w:eastAsia="zh-CN"/>
        </w:rPr>
      </w:pPr>
      <w:r>
        <w:rPr>
          <w:rFonts w:hint="eastAsia" w:eastAsia="仿宋" w:cs="仿宋"/>
          <w:sz w:val="32"/>
          <w:szCs w:val="32"/>
          <w:lang w:eastAsia="zh-CN"/>
        </w:rPr>
        <w:t>部门整体支出绩效评价基础数据表</w:t>
      </w:r>
    </w:p>
    <w:p>
      <w:pPr>
        <w:numPr>
          <w:ilvl w:val="0"/>
          <w:numId w:val="6"/>
        </w:numPr>
        <w:spacing w:line="560" w:lineRule="exact"/>
        <w:ind w:firstLine="640" w:firstLineChars="200"/>
        <w:rPr>
          <w:rFonts w:hint="eastAsia" w:eastAsia="仿宋" w:cs="仿宋"/>
          <w:sz w:val="32"/>
          <w:szCs w:val="32"/>
          <w:lang w:eastAsia="zh-CN"/>
        </w:rPr>
      </w:pPr>
      <w:r>
        <w:rPr>
          <w:rFonts w:hint="eastAsia" w:eastAsia="仿宋" w:cs="仿宋"/>
          <w:sz w:val="32"/>
          <w:szCs w:val="32"/>
          <w:lang w:eastAsia="zh-CN"/>
        </w:rPr>
        <w:t>部门整体支出绩效自评表</w:t>
      </w:r>
    </w:p>
    <w:p>
      <w:pPr>
        <w:numPr>
          <w:ilvl w:val="0"/>
          <w:numId w:val="6"/>
        </w:numPr>
        <w:spacing w:line="560" w:lineRule="exact"/>
        <w:ind w:firstLine="640" w:firstLineChars="200"/>
        <w:rPr>
          <w:rFonts w:hint="eastAsia" w:eastAsia="仿宋" w:cs="仿宋"/>
          <w:sz w:val="32"/>
          <w:szCs w:val="32"/>
          <w:lang w:eastAsia="zh-CN"/>
        </w:rPr>
      </w:pPr>
      <w:r>
        <w:rPr>
          <w:rFonts w:hint="eastAsia" w:eastAsia="仿宋" w:cs="仿宋"/>
          <w:sz w:val="32"/>
          <w:szCs w:val="32"/>
          <w:lang w:eastAsia="zh-CN"/>
        </w:rPr>
        <w:t>项目支出绩效自评表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796280" cy="3679190"/>
            <wp:effectExtent l="0" t="0" r="13970" b="165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r>
        <w:br w:type="page"/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49315" cy="3429000"/>
            <wp:effectExtent l="0" t="0" r="1333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713730" cy="3910965"/>
            <wp:effectExtent l="0" t="0" r="1270" b="1333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741035" cy="3818890"/>
            <wp:effectExtent l="0" t="0" r="12065" b="1016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A59DE"/>
    <w:multiLevelType w:val="singleLevel"/>
    <w:tmpl w:val="877A59D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0EC6967"/>
    <w:multiLevelType w:val="singleLevel"/>
    <w:tmpl w:val="90EC69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4A13B8"/>
    <w:multiLevelType w:val="singleLevel"/>
    <w:tmpl w:val="E44A13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251FBCE"/>
    <w:multiLevelType w:val="singleLevel"/>
    <w:tmpl w:val="F251FB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79A2A67"/>
    <w:multiLevelType w:val="singleLevel"/>
    <w:tmpl w:val="579A2A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F994676"/>
    <w:multiLevelType w:val="singleLevel"/>
    <w:tmpl w:val="5F9946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GFkMDMyYjJlMTAzMmJlNzRlMjFjYzM1ZGE5YWUifQ=="/>
  </w:docVars>
  <w:rsids>
    <w:rsidRoot w:val="389728E6"/>
    <w:rsid w:val="1B086F77"/>
    <w:rsid w:val="281D62A2"/>
    <w:rsid w:val="389728E6"/>
    <w:rsid w:val="3F4F55FF"/>
    <w:rsid w:val="45197BC9"/>
    <w:rsid w:val="59F55223"/>
    <w:rsid w:val="60DA4050"/>
    <w:rsid w:val="62E6391C"/>
    <w:rsid w:val="7C6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2024-06-26T02:12:00Z</dcterms:created>
  <dc:creator>张萌</dc:creator>
  <cp:lastModifiedBy>张萌</cp:lastModifiedBy>
  <dcterms:modified xsi:type="dcterms:W3CDTF">2024-09-26T07:44:40Z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C1CAF80A579642F5AC6593A9DDA7BA33_13</vt:lpwstr>
  </property>
</Properties>
</file>