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202</w:t>
      </w:r>
      <w:r>
        <w:rPr>
          <w:rFonts w:hint="eastAsia" w:ascii="方正小标宋_GBK" w:hAnsi="方正小标宋_GBK" w:eastAsia="方正小标宋_GBK" w:cs="方正小标宋_GBK"/>
          <w:sz w:val="84"/>
          <w:szCs w:val="8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年度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岳阳市水运事务中心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jc w:val="center"/>
        <w:rPr>
          <w:sz w:val="32"/>
          <w:szCs w:val="32"/>
        </w:rPr>
      </w:pPr>
    </w:p>
    <w:p>
      <w:pPr>
        <w:pStyle w:val="12"/>
        <w:spacing w:line="500" w:lineRule="exact"/>
        <w:jc w:val="both"/>
        <w:rPr>
          <w:b/>
          <w:sz w:val="36"/>
          <w:szCs w:val="28"/>
        </w:rPr>
      </w:pPr>
    </w:p>
    <w:p>
      <w:pPr>
        <w:pStyle w:val="12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第一部分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岳阳市水运事务中心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概况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一、部门职责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二、机构设置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第二部分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四、财政拨款收入支出决算总表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五、一般公共预算财政拨款支出决算表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六、一般公共预算财政拨款基本支出决算明细表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七、政府性基金预算财政拨款收入支出决算表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八、国有资本经营预算财政拨款支出决算表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九、财政拨款“三公”经费支出决算表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第三部分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部门决算情况说明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八、</w:t>
      </w:r>
      <w:r>
        <w:rPr>
          <w:rFonts w:hint="eastAsia" w:ascii="仿宋_GB2312" w:hAnsi="仿宋_GB2312" w:eastAsia="仿宋_GB2312" w:cs="仿宋_GB2312"/>
          <w:sz w:val="28"/>
          <w:szCs w:val="28"/>
        </w:rPr>
        <w:t>国有资本经营预算财政拨款支出决算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十二、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2"/>
        <w:spacing w:line="500" w:lineRule="exact"/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关于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28"/>
          <w:szCs w:val="28"/>
        </w:rPr>
        <w:t>绩效情况的说明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第四部分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名词解释</w:t>
      </w:r>
    </w:p>
    <w:p>
      <w:pPr>
        <w:pStyle w:val="12"/>
        <w:spacing w:line="500" w:lineRule="exac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第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部分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hAnsi="黑体" w:cs="黑体"/>
          <w:b w:val="0"/>
          <w:bCs/>
          <w:sz w:val="28"/>
          <w:szCs w:val="28"/>
          <w:lang w:eastAsia="zh-CN"/>
        </w:rPr>
        <w:t>附件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 xml:space="preserve">第一部分 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岳阳市水运事务中心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概况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3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13"/>
        <w:numPr>
          <w:ilvl w:val="0"/>
          <w:numId w:val="1"/>
        </w:numPr>
        <w:ind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部门职责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（一）为机关提供支持保障的职能。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1、参与拟订水路交通发展规划、地方性法规、规章技术规范相关事务性工作。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、负责水上交通通航及通航环境管理、港口码头及其作业污染水域、水上水下施工作业、工程管理及水路危货运输、监督管理的行政辅助工作，负责组织水上搜救、沉船沉物打捞及水上救援等技术支撑工作，负责水上交通、船舶污染和港口污染事故调查处理的技术支撑工作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3、负责权限范围内船员、船舶登记、船舶安全监督和船舶进出港报告管理的行政辅助工作。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4、负责船舶（含渔船）、水上设施和船用产品法定检验的事务性工作等；负责船舶法定检验质量管理体系运行的指导协调工作；按规定权限对船舶设计图纸提出审查建议意见。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5、负责水路运输及运输辅助业市场、港口搬运市场、船舶交易市场管理相关事务性工作；负责防汛抢险和水路战备运输等应急运输保障的行政辅助工作。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6、负责地方航道管理的行政辅助工作；负责地方航道通航条件影响评价的技术支撑工作；负责所辖地方航道航标及助航标志的设置；参与协调水资源综合利用事务。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7、负责港口建设工程施工许可、竣工验收的行政辅助工作；负责水路交通运输行业相关信息收集、统计工作。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8、负责全市水路交通领域安全巡查、宣传教育工作。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（二）面向社会提供公益服务的职能。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1、负责发布航道通告和航道水情通报，向进出港船舶船员发布航行有关安全信息和提供咨询服务等工作。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（三）完成市交通运输局交办的其他任务。</w:t>
      </w:r>
    </w:p>
    <w:p>
      <w:pPr>
        <w:widowControl/>
        <w:spacing w:line="600" w:lineRule="exac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spacing w:line="600" w:lineRule="exact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（一）内设机构设置。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eastAsia="zh-CN"/>
        </w:rPr>
        <w:t>岳阳市水运事务中心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内设机构包括：综合部、安全法务部、船舶船员部、港航运输部、装备信息部、水上环保事务部；3个分支机构：市水上交通应急救援指挥所、市沿江港口事务所、市船舶检验所。</w:t>
      </w:r>
    </w:p>
    <w:p>
      <w:pPr>
        <w:widowControl/>
        <w:spacing w:line="600" w:lineRule="exact"/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（二）决算单位构成。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eastAsia="zh-CN"/>
        </w:rPr>
        <w:t>岳阳市水运事务中心无独立核算的下属单位，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</w:rPr>
        <w:t>年部门决算汇总公开单位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eastAsia="zh-CN"/>
        </w:rPr>
        <w:t>仅包括岳阳市水运事务中心本级。</w:t>
      </w: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第二部分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84"/>
          <w:szCs w:val="84"/>
        </w:rPr>
      </w:pPr>
      <w:r>
        <w:rPr>
          <w:rFonts w:hint="eastAsia" w:ascii="方正小标宋_GBK" w:hAnsi="方正小标宋_GBK" w:eastAsia="方正小标宋_GBK" w:cs="方正小标宋_GBK"/>
          <w:sz w:val="84"/>
          <w:szCs w:val="84"/>
        </w:rPr>
        <w:t>部门决算表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仿宋_GB2312" w:hAnsi="仿宋_GB2312" w:eastAsia="仿宋_GB2312" w:cs="仿宋_GB2312"/>
          <w:b w:val="0"/>
          <w:bCs w:val="0"/>
          <w:sz w:val="72"/>
          <w:szCs w:val="72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第三部分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202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70"/>
          <w:szCs w:val="70"/>
        </w:rPr>
        <w:t>年度部门决算情况说明</w:t>
      </w: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决算编制时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至“金额单位：元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本套部门决算文字说明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和公开表格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取数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转换为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金额单位：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万元”，可能导致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以下文字说明中的各项数据取数以及公开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中的各项数据取数之间存在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0.01的尾数差异。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完成年初预算的XX%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一、收入支出决算总体情况说明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年度收、支总计2565.54万元。与上年相比，增加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710.59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38.31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财政拨款收入增加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710.59万元，基本支出增加710.59万元。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二、收入决算情况说明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年度收入合计2565.54万元，其中：财政拨款收入2565.54万元，占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%；事业收入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年度支出合计2565.54万元，其中：基本支出2565.54万元，占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四、财政拨款收入支出决算总体情况说明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楷体" w:hAnsi="楷体" w:eastAsia="楷体" w:cs="楷体"/>
          <w:i/>
          <w:i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万元,增长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38.31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年度开展了“长江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洞庭湖应急综合演习”增加收入、支出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150万元，支付2022年未支付的“船舶污染物接收、处置费用”。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/>
          <w:i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万元，占本年支出合计的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%，与上年相比，财政拨款支出增加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710.59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38.31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%，主要是因为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年度开展了“长江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洞庭湖应急综合演习”增加支出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150万元，支付2022年未支付的“船舶污染物接收、处置费用”。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1931.81万元，占75.30%；社会保障和就业支出104.05万元，占4.06%；节能环保支出362.55万元，占14.13%；城乡社区支出66.84万元，占2.60%；住房保障支出100.29万元，占3.91%。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年度财政拨款支出年初预算数为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2631.78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%，其中：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机关事业单位基本养老缴费支出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104.05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104.05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我单位严格按照财政拨款要求支出单位基本养老保险。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节能环保支出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污染防治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362.55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362.55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该费用为船舶污染物接收、处置费用，每年按照签订合同固定支付，严格按照合同进行预算申报支出。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城乡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社区支出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城乡社区规划与管理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城乡社区规划与管理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95.49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%，决算数小于年初预算数的主要原因是：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--洞庭湖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应急综合演习节约预算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3.16万元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公路水路运输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1487.64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1449.78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97.55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%，决算数小于年初预算数的主要原因是：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缩减部分三公经费的开支，因员工退休导致部分人员类支出经费减少，同时因报账资料手续不全等原因，部分地方航道航标设置费用、办公费、电费等费用未于年底完成支付。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公路水路运输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海事管理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90.32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%，决算数大于（小于）年初预算数的主要原因是：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节省部分预算开支。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公路水路运输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其他公路水路运输支出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353.23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332.93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94.25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%，决算数小于年初预算数的主要原因是：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因人员变动部分增资绩效奖未发放。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其他交通运输支出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150.09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148.81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99.15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%，决算数大于（小于）年初预算数的主要原因是：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因人员变动部分增资绩效奖及十三月工资未发放。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（类）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住房改革支出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住房公积金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（项）。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103.91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100.29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96.52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%，决算数小于年初预算数的主要原因是：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部分员工退休，退休后无需支付公积金，导致部分预算未支付。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1433.94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55.89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%,主要包括基本工资、津贴补贴、奖金、伙食补助费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、机关事业单位基本养老保险缴费、职工基本医疗保险缴费、其他社会保险缴费、住房公积金、医疗费、对个人和家庭的补助、退休费、生活补助、医疗费补助、奖励金、其他对个人和家庭的补助。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1131.60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44.11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%，主要包括办公费、印刷费、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水费、电费、邮电费、物业管理费、差旅费、维修维护费、专用燃料费、劳务费、委托业务费、工会经费、福利费、公务用车运行维护费、其他交通费用、其他商品和服务支出、办公设备购置、其他资本性支出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七、政府性基金预算收入支出决算情况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万元；年初结转和结余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2023年度国有资本经营预算财政拨款收入0万元；年初结转和结余0万；支出0万元；年末结转和结余0万元。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hAnsi="黑体" w:cs="黑体"/>
          <w:b w:val="0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财政拨款三公经费支出决算情况说明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“三公”经费财政拨款支出预算为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本年合理安排三公经费相关预算，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29.27</w:t>
      </w:r>
      <w:r>
        <w:rPr>
          <w:rFonts w:hint="eastAsia" w:ascii="仿宋_GB2312" w:hAnsi="仿宋_GB2312" w:eastAsia="仿宋_GB2312" w:cs="仿宋_GB2312"/>
          <w:sz w:val="32"/>
          <w:szCs w:val="32"/>
        </w:rPr>
        <w:t>%,减少的主要原因是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我单位严格遵守厉行节约原则，减少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因公出国（境）费支出预算为0万元，支出决算为0万元，决算数等于预算数，主要原因是我单位严格按预算执行决算；与上年一致，无增减变动，主要原因是未安排因公出国（境）活动。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公务接待费支出预算为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我单位严格按照制度规定对公务接待进行预算列支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78.65</w:t>
      </w:r>
      <w:r>
        <w:rPr>
          <w:rFonts w:hint="eastAsia" w:ascii="仿宋_GB2312" w:hAnsi="仿宋_GB2312" w:eastAsia="仿宋_GB2312" w:cs="仿宋_GB2312"/>
          <w:sz w:val="32"/>
          <w:szCs w:val="32"/>
        </w:rPr>
        <w:t>%,减少的主要原因是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我单位本年度公务接待较上年次数有所减少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公务用车购置费支出预算为0万元，支出决算为0万元，决算数等于预算数，主要原因是我单位严格按预算执行决算；与上年一致，无增减变动，主要原因是两年均未购置公务用车。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等于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预算数的主要原因是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我单位合理安排公务车运行维护费支出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，与上年相比减少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万元，减少（增长）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24.04</w:t>
      </w:r>
      <w:r>
        <w:rPr>
          <w:rFonts w:hint="eastAsia" w:ascii="仿宋_GB2312" w:hAnsi="仿宋_GB2312" w:eastAsia="仿宋_GB2312" w:cs="仿宋_GB2312"/>
          <w:sz w:val="32"/>
          <w:szCs w:val="32"/>
        </w:rPr>
        <w:t>%,减少的主要原因是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我单位本年度厉行节约，缩减公务车运行开支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年度“三公”经费财政拨款支出决算中，公务接待费支出决算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3.00</w:t>
      </w:r>
      <w:r>
        <w:rPr>
          <w:rFonts w:hint="eastAsia" w:ascii="仿宋_GB2312" w:hAnsi="仿宋_GB2312" w:eastAsia="仿宋_GB2312" w:cs="仿宋_GB2312"/>
          <w:sz w:val="32"/>
          <w:szCs w:val="32"/>
        </w:rPr>
        <w:t>%,因公出国（境）费支出决算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%,公务用车购置费及运行维护费支出决算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因公出国（境）费支出决算为0万元，全年安排因公出国（境）团组0个，累计0人次，我单位2023年度无因公出国（境）费支出。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2、公务接待费支出决算为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万元，全年共接待来访团组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个、来宾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接待省水运事务中心来我单位检查船舶登记工作及船检工作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发生的接待支出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3、公务用车购置费及运行维护费支出决算为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万元，其中：公务用车购置费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当年没有购置公务用车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公务用车油费及维修保养费用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支出，截止202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年12月31日，我单位开支财政拨款的公务用车保有量为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辆。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/>
          <w:color w:val="auto"/>
          <w:sz w:val="32"/>
          <w:szCs w:val="32"/>
          <w:lang w:eastAsia="zh-CN"/>
        </w:rPr>
        <w:t>十</w:t>
      </w:r>
      <w:r>
        <w:rPr>
          <w:rFonts w:hint="eastAsia" w:ascii="Times New Roman" w:hAnsi="Times New Roman" w:eastAsia="仿宋_GB2312"/>
          <w:b/>
          <w:color w:val="auto"/>
          <w:sz w:val="32"/>
          <w:szCs w:val="32"/>
        </w:rPr>
        <w:t>、关于机关运行经费支出说明</w:t>
      </w:r>
    </w:p>
    <w:p>
      <w:pPr>
        <w:pStyle w:val="12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年度机关运行经费支出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1131.6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万元，比年初预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万元，增长（降低）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%。主要原因是：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秉承厉行节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约原则，节省部分三公经费，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因报账资料手续不全等原因，部分地方航道航标设置费用、办公费、电费等费用未于年底完成支付。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、一般性支出情况说明</w:t>
      </w:r>
    </w:p>
    <w:p>
      <w:pPr>
        <w:pStyle w:val="1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年度，本单位无会议费的预算和支出决算数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培训费年初预算0.49万元，支出决算为0.49万元，完成年初预算的100%。用于开展职工培训，人数15人，内容为污染防治、船舶检验、安全监管及应急管理培训。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eastAsia" w:ascii="楷体" w:hAnsi="楷体" w:eastAsia="楷体" w:cs="楷体"/>
          <w:b/>
          <w:bCs/>
          <w:i w:val="0"/>
          <w:iCs w:val="0"/>
          <w:color w:val="FF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本单位无举办节庆、晚会、论坛、赛事等活动的预算和支出决算数。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十</w:t>
      </w:r>
      <w:r>
        <w:rPr>
          <w:rFonts w:hint="eastAsia" w:hAnsi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、关于政府采购支出说明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664.58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302.03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362.55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664.58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万元，占政府采购支出总额的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%，其中：授予小微企业合同金额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664.58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授予中小企业合同金额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。货物采购授予中小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企业合同金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额占货物支出金额的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%，工程采购授予中小企业合同金额占工程支出金额的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%，服务采购授予中小企业合同金额占服务支出金额的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截至2023年12月31日，本单位共有车辆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辆，其中，副部（省）级及以上领导用车0辆、主要负责人用车0辆、机要通信用车0辆、应急保障用车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辆、执法执勤用车0辆、特种专业技术用车0辆、离退休干部服务用车0辆、其他用车0辆；单位价值100万元以上设备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十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、关于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年度</w:t>
      </w:r>
      <w:r>
        <w:rPr>
          <w:rFonts w:hint="eastAsia" w:hAnsi="黑体" w:cs="黑体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绩效情况的说明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万元，政府性基金预算支出0万元，国有资本经营预算支出0万元。从评价情况来看，整体支出绩效评价中，2023年整体支出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万元，项目支出0万元，本单位整体支出绩效自评综合评分97分，评价结果等次为优良。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组织对一般公共预算项目支出全面开展绩效自评，项目5个，共涉及资金613.05万元，占一般公共预算项目支出总额的23.90%。组织对政府性基金预算项目支出开展绩效自评，项目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"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个，共涉及资金0万元（由于政府性基金预算项目支出总额为0，故无法计算占政府性基金预算项目支出总额的比重。）组织对国有资本经营预算项目支出开展绩效自评，项目0个，共涉及资金0万元（由于国有资本经营预算项目支出总额为0，故无法计算占国有资本经营预算项目支出总额的比重）。从评价情况来看，项目绩效自评得分98分，评价结果等次为优良。</w:t>
      </w:r>
      <w:bookmarkStart w:id="0" w:name="_GoBack"/>
      <w:bookmarkEnd w:id="0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（单位）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根据年初设定的绩效目标，绩效自评得分为97分。全年预算数为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2631.78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万元，执行数为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2565.54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万元，完成预算的97.48%。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绩效目标完成情况：共设置一级指标4个，二级指标10个，三级指标13个.一是产出指标：做好全市管辖岸线水上交通通航秩序及建成港口、码头的运营监管行政辅助工作，依法依规对全市水路交通领域进行安全巡航、水上安全的宣传教育工作。针对水路安全领域，完善了制度体系，起草《水运安全和防污领域问题线索移送制度（试行）》等8个方案制度，加强了辖区水上巡查、强化企业监管、渡口安全监管、城区水域整治，全年共发现并整改隐患和缺陷325处，处置较小事故13起、救援5期。二是效益指标：全年组织58家港口、航运企业开展双重预防体系建设培训，全市28家航运企业实现“班前会+三卡学习”全覆盖，组织船员培训5期，共培训船员295人，极大程度改善和维护了水上交通通航秩序，保障了水上人员生命和财产安全。参与“2023年长江--洞庭湖应急综合演练”，进一步提高水上应急救援队伍的团队协作能力和应急反应能力。积极推动省、市8个重点水运项目建设，推动铁路水路联运发展，完善多式联运物流体系，为推动水运经济发展提供有力支撑。通过环保宣传及船舶污染物转运、接收等项目的实施，增强了水上人民环保理念，同时维护洞庭湖等管辖水域生态环境优良。三是</w:t>
      </w:r>
      <w:r>
        <w:rPr>
          <w:rFonts w:hint="eastAsia" w:hAnsi="黑体" w:eastAsia="仿宋_GB2312"/>
          <w:sz w:val="32"/>
          <w:szCs w:val="32"/>
        </w:rPr>
        <w:t>满意度指标：服务对象满意度指标，该指标预期值为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</w:t>
      </w:r>
      <w:r>
        <w:rPr>
          <w:rFonts w:hint="eastAsia" w:hAnsi="黑体" w:eastAsia="仿宋_GB2312"/>
          <w:sz w:val="32"/>
          <w:szCs w:val="32"/>
        </w:rPr>
        <w:t>，实际完成值为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95%</w:t>
      </w:r>
      <w:r>
        <w:rPr>
          <w:rFonts w:hint="eastAsia" w:hAnsi="黑体" w:eastAsia="仿宋_GB2312"/>
          <w:sz w:val="32"/>
          <w:szCs w:val="32"/>
        </w:rPr>
        <w:t>。</w:t>
      </w:r>
      <w:r>
        <w:rPr>
          <w:rFonts w:hint="eastAsia" w:hAnsi="黑体" w:eastAsia="仿宋_GB2312"/>
          <w:sz w:val="32"/>
          <w:szCs w:val="32"/>
          <w:lang w:eastAsia="zh-CN"/>
        </w:rPr>
        <w:t>四是成本指标：经济成本为预算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2631.78万元，在预算内完成当年任务，未对社会及环境造成负面影响。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发现的主要问题及原因：一是对本单位整体支出绩效运行监控力度仍需加强，及时发现绩效目标偏差和管理漏洞，采取有针对性措施予以纠正。二是因为部分款项支付手续不齐全等原因，部分款项无法再规定时间内支付，导致预算执行完成度变底。三是部分预算填报预估不精准，对预算资金的绩效自评不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下一步改进措施：一是进一步严格执行绩效目标，完善考核指标，完善项目资金的绩效自评工作，加大对相关人员绩效评价培训，确保预算资金的有效使用；二是加强财务管理及监督体系建设，进一步加强财务报账、审核体系，优化报账流程，提高报账效率，加强财务监督环境，加强资金使用过程中的绩效自评工作及资金使用后绩效自评工作，为下一年预算编制提供科学依据，不断改进、加强绩效管理和自评工作。</w:t>
      </w:r>
    </w:p>
    <w:p>
      <w:pPr>
        <w:pStyle w:val="12"/>
        <w:jc w:val="both"/>
        <w:rPr>
          <w:sz w:val="72"/>
          <w:szCs w:val="72"/>
        </w:rPr>
      </w:pPr>
    </w:p>
    <w:p>
      <w:pPr>
        <w:pStyle w:val="12"/>
        <w:jc w:val="both"/>
        <w:rPr>
          <w:sz w:val="72"/>
          <w:szCs w:val="72"/>
        </w:rPr>
      </w:pPr>
    </w:p>
    <w:p>
      <w:pPr>
        <w:pStyle w:val="12"/>
        <w:jc w:val="both"/>
        <w:rPr>
          <w:sz w:val="72"/>
          <w:szCs w:val="72"/>
        </w:rPr>
      </w:pPr>
    </w:p>
    <w:p>
      <w:pPr>
        <w:pStyle w:val="12"/>
        <w:jc w:val="both"/>
        <w:rPr>
          <w:sz w:val="72"/>
          <w:szCs w:val="72"/>
        </w:rPr>
      </w:pPr>
    </w:p>
    <w:p>
      <w:pPr>
        <w:pStyle w:val="12"/>
        <w:jc w:val="both"/>
        <w:rPr>
          <w:sz w:val="72"/>
          <w:szCs w:val="72"/>
        </w:rPr>
      </w:pP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2"/>
          <w:szCs w:val="72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第四部分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70"/>
          <w:szCs w:val="70"/>
        </w:rPr>
        <w:t>名词解释</w:t>
      </w: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3"/>
      </w:pPr>
    </w:p>
    <w:p/>
    <w:p>
      <w:pPr>
        <w:pStyle w:val="2"/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二、机关运行经费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，包括办公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第</w:t>
      </w:r>
      <w:r>
        <w:rPr>
          <w:rFonts w:hint="eastAsia" w:ascii="方正小标宋_GBK" w:hAnsi="方正小标宋_GBK" w:eastAsia="方正小标宋_GBK" w:cs="方正小标宋_GBK"/>
          <w:sz w:val="72"/>
          <w:szCs w:val="72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>部分</w:t>
      </w:r>
    </w:p>
    <w:p>
      <w:pPr>
        <w:pStyle w:val="12"/>
        <w:jc w:val="both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附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ascii="宋体" w:hAnsi="宋体" w:eastAsia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</w:rPr>
        <w:t>年度部门整体支出绩效评价报告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C9A3B"/>
    <w:multiLevelType w:val="singleLevel"/>
    <w:tmpl w:val="FEFC9A3B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8683C"/>
    <w:rsid w:val="00EA2B72"/>
    <w:rsid w:val="00F74360"/>
    <w:rsid w:val="00FB462F"/>
    <w:rsid w:val="00FE16FA"/>
    <w:rsid w:val="00FE328A"/>
    <w:rsid w:val="00FE6269"/>
    <w:rsid w:val="00FF5CD6"/>
    <w:rsid w:val="059958AD"/>
    <w:rsid w:val="12583BA5"/>
    <w:rsid w:val="13BA5B9C"/>
    <w:rsid w:val="1D97DEFF"/>
    <w:rsid w:val="1DFF72E5"/>
    <w:rsid w:val="1EFC6F07"/>
    <w:rsid w:val="22AC03C2"/>
    <w:rsid w:val="2FDF85B8"/>
    <w:rsid w:val="2FFFEE04"/>
    <w:rsid w:val="31C95635"/>
    <w:rsid w:val="34DF85B0"/>
    <w:rsid w:val="3B8F36BC"/>
    <w:rsid w:val="3FC5B1C6"/>
    <w:rsid w:val="491FF225"/>
    <w:rsid w:val="4FFD214C"/>
    <w:rsid w:val="5352765A"/>
    <w:rsid w:val="5777D4F5"/>
    <w:rsid w:val="59BCE44D"/>
    <w:rsid w:val="59DD8326"/>
    <w:rsid w:val="5DEF592A"/>
    <w:rsid w:val="5FC6BB1E"/>
    <w:rsid w:val="5FF720F1"/>
    <w:rsid w:val="67FF5C0B"/>
    <w:rsid w:val="6A77F4AC"/>
    <w:rsid w:val="6BAA4A2F"/>
    <w:rsid w:val="6EFC0924"/>
    <w:rsid w:val="6FB74722"/>
    <w:rsid w:val="6FEF8B7E"/>
    <w:rsid w:val="71A6591B"/>
    <w:rsid w:val="737D59BA"/>
    <w:rsid w:val="737F32B1"/>
    <w:rsid w:val="77C37683"/>
    <w:rsid w:val="77FD4528"/>
    <w:rsid w:val="79FF515B"/>
    <w:rsid w:val="7BFD3803"/>
    <w:rsid w:val="7E9E1962"/>
    <w:rsid w:val="7E9F11B4"/>
    <w:rsid w:val="7F37EC1E"/>
    <w:rsid w:val="7F7DCD9D"/>
    <w:rsid w:val="7F7F0B73"/>
    <w:rsid w:val="7F970A6F"/>
    <w:rsid w:val="7FC1FFF3"/>
    <w:rsid w:val="7FC69637"/>
    <w:rsid w:val="7FDF8620"/>
    <w:rsid w:val="7FFB242F"/>
    <w:rsid w:val="7FFDB408"/>
    <w:rsid w:val="7FFE4EEB"/>
    <w:rsid w:val="95FB2B98"/>
    <w:rsid w:val="9A639BC2"/>
    <w:rsid w:val="9FF7D786"/>
    <w:rsid w:val="ABBFB23D"/>
    <w:rsid w:val="B9DF462C"/>
    <w:rsid w:val="BAB23F55"/>
    <w:rsid w:val="BBFB77A8"/>
    <w:rsid w:val="C3B4DA5A"/>
    <w:rsid w:val="CBFF70E0"/>
    <w:rsid w:val="CFEBD592"/>
    <w:rsid w:val="CFF50B82"/>
    <w:rsid w:val="CFFFAD89"/>
    <w:rsid w:val="DFFE359E"/>
    <w:rsid w:val="DFFE4FFD"/>
    <w:rsid w:val="EEABED75"/>
    <w:rsid w:val="EFEA9439"/>
    <w:rsid w:val="F56FDF51"/>
    <w:rsid w:val="F6B69F17"/>
    <w:rsid w:val="F6EF0253"/>
    <w:rsid w:val="F7370E74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ADDDB7"/>
    <w:rsid w:val="FEEA50FE"/>
    <w:rsid w:val="FF7D47A9"/>
    <w:rsid w:val="FFCF21CB"/>
    <w:rsid w:val="FFFF17DA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1347</Words>
  <Characters>7679</Characters>
  <Lines>63</Lines>
  <Paragraphs>18</Paragraphs>
  <TotalTime>4</TotalTime>
  <ScaleCrop>false</ScaleCrop>
  <LinksUpToDate>false</LinksUpToDate>
  <CharactersWithSpaces>9008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2020-07-11T10:32:00Z</dcterms:created>
  <dc:creator>李航 null</dc:creator>
  <cp:lastModifiedBy>xjkp</cp:lastModifiedBy>
  <cp:lastPrinted>2024-09-12T09:42:00Z</cp:lastPrinted>
  <dcterms:modified xsi:type="dcterms:W3CDTF">2024-09-14T11:56:20Z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98623D6660B449428EB8E073C6C952EA</vt:lpwstr>
  </property>
</Properties>
</file>