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2024年度岳阳市道路运输服务中心部门（单位）整体支出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部门（单位）名称：</w:t>
      </w:r>
      <w:r>
        <w:rPr>
          <w:rFonts w:ascii="Times New Roman" w:hAnsi="Times New Roman" w:eastAsia="仿宋_GB2312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2025</w:t>
      </w:r>
      <w:r>
        <w:rPr>
          <w:rFonts w:ascii="Times New Roman" w:hAnsi="Times New Roman" w:eastAsia="楷体_GB2312"/>
          <w:sz w:val="32"/>
          <w:szCs w:val="32"/>
        </w:rPr>
        <w:t xml:space="preserve">年 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ascii="Times New Roman" w:hAnsi="Times New Roman" w:eastAsia="楷体_GB2312"/>
          <w:sz w:val="32"/>
          <w:szCs w:val="32"/>
        </w:rPr>
        <w:t xml:space="preserve"> 月 </w:t>
      </w:r>
      <w:r>
        <w:rPr>
          <w:rFonts w:hint="eastAsia" w:ascii="Times New Roman" w:hAnsi="Times New Roman" w:eastAsia="楷体_GB2312"/>
          <w:sz w:val="32"/>
          <w:szCs w:val="32"/>
        </w:rPr>
        <w:t>26</w:t>
      </w:r>
      <w:r>
        <w:rPr>
          <w:rFonts w:ascii="Times New Roman" w:hAnsi="Times New Roman" w:eastAsia="楷体_GB2312"/>
          <w:sz w:val="32"/>
          <w:szCs w:val="32"/>
        </w:rPr>
        <w:t>日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（此页为封面）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2024年度岳阳市道路运输服务中心整体支出绩效自评报告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部门（单位）基本情况</w:t>
      </w: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市道路运输服务中心核定全额拔款事业编制91名。单位</w:t>
      </w:r>
      <w:r>
        <w:rPr>
          <w:rFonts w:hint="eastAsia" w:ascii="仿宋_GB2312" w:eastAsia="仿宋_GB2312"/>
          <w:sz w:val="32"/>
          <w:szCs w:val="32"/>
        </w:rPr>
        <w:t>经费渠道为财政全额拨款。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现实有在编人员84名，其中2024年度退休3名，调任1名，招聘1名。核定领导职数6名，设主任（副处级）1名，党委副职（正科级）5名（其中党委专职副书记1名）；内设机构副科级领导职数11名（含党委办主任1名）；分支机构正科级领导职数3名、副科级领导职数6名。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widowControl/>
        <w:spacing w:line="64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snapToGrid w:val="0"/>
        <w:spacing w:line="520" w:lineRule="exact"/>
        <w:ind w:left="8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总体情况：2024年度部门支出数为1725.46万元，其中工资福利支出总数为1315.43万元，占总支出的76.24%；商品和服务支出总数为158.61万元，占总支出的9.2%；对个人和家庭的补助总数为129.56万元，占总支出的7.5%；资本性支出总数为121.86万元，占总支出的7.06%。</w:t>
      </w:r>
    </w:p>
    <w:p>
      <w:pPr>
        <w:snapToGrid w:val="0"/>
        <w:spacing w:line="520" w:lineRule="exact"/>
        <w:ind w:left="8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“三公”经费支出情况：“三公”经费财政拨款支出预算为800元，支出决算为800元，完成预算的100%，其中：公务接待费支出预算为800元，支出决算为800元，完成预算的100%。</w:t>
      </w:r>
    </w:p>
    <w:p>
      <w:pPr>
        <w:snapToGrid w:val="0"/>
        <w:spacing w:line="520" w:lineRule="exact"/>
        <w:ind w:left="8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（3）</w:t>
      </w:r>
      <w:r>
        <w:rPr>
          <w:rFonts w:hint="eastAsia" w:ascii="仿宋_GB2312" w:eastAsia="仿宋_GB2312"/>
          <w:sz w:val="32"/>
          <w:szCs w:val="32"/>
        </w:rPr>
        <w:t>资本性支出情况：资本性支出预算为121.86万元，支出决算为121.86万元，完成预算的100%。</w:t>
      </w:r>
    </w:p>
    <w:p>
      <w:pPr>
        <w:pStyle w:val="2"/>
        <w:rPr>
          <w:rFonts w:hint="eastAsia"/>
        </w:rPr>
      </w:pPr>
    </w:p>
    <w:p>
      <w:pPr>
        <w:snapToGrid w:val="0"/>
        <w:spacing w:line="520" w:lineRule="exact"/>
        <w:ind w:left="8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</w:t>
      </w: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8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项目支出总数为14万元，为道路安全监管（铁路安全监管及沿线环境综合整治）专项。</w:t>
      </w:r>
      <w:r>
        <w:rPr>
          <w:rFonts w:hint="eastAsia" w:ascii="仿宋_GB2312" w:hAnsi="仿宋" w:eastAsia="仿宋_GB2312"/>
          <w:sz w:val="32"/>
          <w:szCs w:val="32"/>
        </w:rPr>
        <w:t>部门年度完成一级项目和二级项目的绩效目标，完成产出指标的数量指标值，客运、货运业务办理完成率95%，完成地方铁路1450万吨货运量，完成从业人员2000人的培训；达成效益指标的经济效益，减税降费达到100万元。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无政府性基金预算支出</w:t>
      </w:r>
    </w:p>
    <w:p>
      <w:pPr>
        <w:pStyle w:val="7"/>
        <w:widowControl/>
        <w:numPr>
          <w:ilvl w:val="0"/>
          <w:numId w:val="2"/>
        </w:numPr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7"/>
        <w:widowControl/>
        <w:spacing w:line="640" w:lineRule="exact"/>
        <w:ind w:firstLine="0" w:firstLineChars="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 xml:space="preserve"> 无</w:t>
      </w:r>
      <w:r>
        <w:rPr>
          <w:rFonts w:ascii="仿宋_GB2312" w:hAnsi="仿宋" w:eastAsia="仿宋_GB2312" w:cs="黑体"/>
          <w:color w:val="000000"/>
          <w:sz w:val="32"/>
          <w:szCs w:val="32"/>
        </w:rPr>
        <w:t>国有资本经营预算支出</w:t>
      </w:r>
    </w:p>
    <w:p>
      <w:pPr>
        <w:pStyle w:val="7"/>
        <w:widowControl/>
        <w:numPr>
          <w:ilvl w:val="0"/>
          <w:numId w:val="2"/>
        </w:numPr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8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  <w:r>
        <w:rPr>
          <w:rFonts w:ascii="仿宋_GB2312" w:hAnsi="仿宋" w:eastAsia="仿宋_GB2312"/>
          <w:sz w:val="32"/>
          <w:szCs w:val="32"/>
        </w:rPr>
        <w:t>社会保险基金预算支出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>
      <w:pPr>
        <w:ind w:firstLine="960" w:firstLineChars="300"/>
        <w:rPr>
          <w:rFonts w:eastAsia="仿宋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我中心较好地完成了2024年设定的工作任务，各部门工作得到有序开展，</w:t>
      </w:r>
      <w:r>
        <w:rPr>
          <w:rFonts w:hint="eastAsia" w:eastAsia="仿宋"/>
          <w:sz w:val="32"/>
          <w:szCs w:val="32"/>
        </w:rPr>
        <w:t>坚持服务至上理念，推进运输结构调整,服务运输经济发展，主要事业成效如下：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引导和支持客运站综合开发，鼓励和规范定制客运发展，全市开通线路9条、车辆118辆。</w:t>
      </w:r>
      <w:r>
        <w:rPr>
          <w:rFonts w:hint="eastAsia" w:eastAsia="仿宋" w:cs="仿宋"/>
          <w:sz w:val="32"/>
          <w:szCs w:val="32"/>
        </w:rPr>
        <w:t>碳达峰碳中和稳步推进，新上纯电网约车939台，是2022 年底的 8倍多，全市 90 台出租车完成“油换电”。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办理出租车注册、注销服务监督卡3256张，续牌办理道路运输证228台。客运车辆年审513台次，审核换领旅游客运包车牌1.25万张;完成普货年审4448台，危货审验788台，办理电子运单19.78万条。举办客、危、出租车从业资格培训班32期，完成培训3171人，考核合格2435人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解决中心城区“两客一危”企业日常巡查查摆隐患问题98个，整改98个，警示约谈企业负责人11次，安全巡查覆盖率100%，对全市14家涉铁企业32个道口开展“隐患清零”专项检查9次，整治铁路沿线安全隐患308处。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开展使得区域内经济效益、社会效益得以提升，到年底完成全部项目的100%，资金拨付达到90%，完成项目验收率达到100%。区域内的铁路运输得到保障，为区域内经济发展创造了条件，为当地带来较为良好的生态效益，可持续影响当地经济发展，社会公众的满意度非常高。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缺乏明确的绩效评价指标，难以量化和细化，评价标准过于抽象，不易理解和执行；缺乏有效的预算执行监督机制。原因一是没有加强预算执行监督，提高财务透明度，二是没有简化绩效管理流程，没有优化跨部门协作，财务管理的信息化水平有待提高。</w:t>
      </w:r>
    </w:p>
    <w:p>
      <w:pPr>
        <w:widowControl/>
        <w:numPr>
          <w:ilvl w:val="0"/>
          <w:numId w:val="4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进一步促进和完善财务管理制度及内部控制，加强预算管理、严格预算执行，严格按照财政预算标准支付各项费用。加强日常铁路监管的巡查力度，稳步提升铁路交通运力。</w:t>
      </w:r>
    </w:p>
    <w:p>
      <w:pPr>
        <w:widowControl/>
        <w:numPr>
          <w:ilvl w:val="0"/>
          <w:numId w:val="4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部门整体支出绩效自评结果拟应用和公开情况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年本单位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年初工作</w:t>
      </w:r>
      <w:r>
        <w:rPr>
          <w:rFonts w:hint="eastAsia" w:ascii="Times New Roman" w:hAnsi="Times New Roman" w:eastAsia="仿宋_GB2312"/>
          <w:sz w:val="32"/>
          <w:szCs w:val="32"/>
        </w:rPr>
        <w:t>计划与目标管理</w:t>
      </w:r>
      <w:r>
        <w:rPr>
          <w:rFonts w:ascii="Times New Roman" w:hAnsi="Times New Roman" w:eastAsia="仿宋_GB2312"/>
          <w:sz w:val="32"/>
          <w:szCs w:val="32"/>
        </w:rPr>
        <w:t>，围绕市委、市政府以及省局的工作部署，积极履</w:t>
      </w:r>
      <w:r>
        <w:rPr>
          <w:rFonts w:hint="eastAsia" w:ascii="Times New Roman" w:hAnsi="Times New Roman" w:eastAsia="仿宋_GB2312"/>
          <w:sz w:val="32"/>
          <w:szCs w:val="32"/>
        </w:rPr>
        <w:t>职</w:t>
      </w:r>
      <w:r>
        <w:rPr>
          <w:rFonts w:ascii="Times New Roman" w:hAnsi="Times New Roman" w:eastAsia="仿宋_GB2312"/>
          <w:sz w:val="32"/>
          <w:szCs w:val="32"/>
        </w:rPr>
        <w:t>，强化管理，较好地完成了</w:t>
      </w:r>
      <w:r>
        <w:rPr>
          <w:rFonts w:hint="eastAsia" w:ascii="Times New Roman" w:hAnsi="Times New Roman" w:eastAsia="仿宋_GB2312"/>
          <w:sz w:val="32"/>
          <w:szCs w:val="32"/>
        </w:rPr>
        <w:t>当</w:t>
      </w:r>
      <w:r>
        <w:rPr>
          <w:rFonts w:ascii="Times New Roman" w:hAnsi="Times New Roman" w:eastAsia="仿宋_GB2312"/>
          <w:sz w:val="32"/>
          <w:szCs w:val="32"/>
        </w:rPr>
        <w:t>年工作目标，同时</w:t>
      </w:r>
      <w:r>
        <w:rPr>
          <w:rFonts w:hint="eastAsia" w:ascii="Times New Roman" w:hAnsi="Times New Roman" w:eastAsia="仿宋_GB2312"/>
          <w:sz w:val="32"/>
          <w:szCs w:val="32"/>
        </w:rPr>
        <w:t>严格执行</w:t>
      </w:r>
      <w:r>
        <w:rPr>
          <w:rFonts w:ascii="Times New Roman" w:hAnsi="Times New Roman" w:eastAsia="仿宋_GB2312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sz w:val="32"/>
          <w:szCs w:val="32"/>
        </w:rPr>
        <w:t>制度</w:t>
      </w:r>
      <w:r>
        <w:rPr>
          <w:rFonts w:ascii="Times New Roman" w:hAnsi="Times New Roman" w:eastAsia="仿宋_GB2312"/>
          <w:sz w:val="32"/>
          <w:szCs w:val="32"/>
        </w:rPr>
        <w:t>管理，</w:t>
      </w:r>
      <w:r>
        <w:rPr>
          <w:rFonts w:hint="eastAsia" w:ascii="Times New Roman" w:hAnsi="Times New Roman" w:eastAsia="仿宋_GB2312"/>
          <w:sz w:val="32"/>
          <w:szCs w:val="32"/>
        </w:rPr>
        <w:t>完善内控制度</w:t>
      </w:r>
      <w:r>
        <w:rPr>
          <w:rFonts w:ascii="Times New Roman" w:hAnsi="Times New Roman" w:eastAsia="仿宋_GB2312"/>
          <w:sz w:val="32"/>
          <w:szCs w:val="32"/>
        </w:rPr>
        <w:t>，提升</w:t>
      </w:r>
      <w:r>
        <w:rPr>
          <w:rFonts w:hint="eastAsia" w:ascii="Times New Roman" w:hAnsi="Times New Roman" w:eastAsia="仿宋_GB2312"/>
          <w:sz w:val="32"/>
          <w:szCs w:val="32"/>
        </w:rPr>
        <w:t>单位整体支出效率</w:t>
      </w:r>
      <w:r>
        <w:rPr>
          <w:rFonts w:ascii="Times New Roman" w:hAnsi="Times New Roman" w:eastAsia="仿宋_GB2312"/>
          <w:sz w:val="32"/>
          <w:szCs w:val="32"/>
        </w:rPr>
        <w:t>。在规定时限内对202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年部门整体支出绩效自评报告在岳阳市</w:t>
      </w:r>
      <w:r>
        <w:rPr>
          <w:rFonts w:hint="eastAsia" w:ascii="Times New Roman" w:hAnsi="Times New Roman" w:eastAsia="仿宋_GB2312"/>
          <w:sz w:val="32"/>
          <w:szCs w:val="32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局门户网站进行公开。</w:t>
      </w:r>
    </w:p>
    <w:p>
      <w:pPr>
        <w:spacing w:line="560" w:lineRule="exact"/>
        <w:ind w:firstLine="640" w:firstLineChars="200"/>
        <w:rPr>
          <w:rFonts w:eastAsia="仿宋" w:cs="仿宋"/>
          <w:sz w:val="32"/>
          <w:szCs w:val="32"/>
        </w:rPr>
      </w:pPr>
    </w:p>
    <w:p>
      <w:pPr>
        <w:widowControl/>
        <w:spacing w:line="6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A59DE"/>
    <w:multiLevelType w:val="singleLevel"/>
    <w:tmpl w:val="877A59D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51FBCE"/>
    <w:multiLevelType w:val="singleLevel"/>
    <w:tmpl w:val="F251FB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9A2A67"/>
    <w:multiLevelType w:val="singleLevel"/>
    <w:tmpl w:val="579A2A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994676"/>
    <w:multiLevelType w:val="singleLevel"/>
    <w:tmpl w:val="5F9946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5NGFkMDMyYjJlMTAzMmJlNzRlMjFjYzM1ZGE5YWUifQ=="/>
  </w:docVars>
  <w:rsids>
    <w:rsidRoot w:val="389728E6"/>
    <w:rsid w:val="00586849"/>
    <w:rsid w:val="0068290D"/>
    <w:rsid w:val="0077020F"/>
    <w:rsid w:val="00F55F5A"/>
    <w:rsid w:val="0BD358DD"/>
    <w:rsid w:val="1BCB1240"/>
    <w:rsid w:val="281D62A2"/>
    <w:rsid w:val="389728E6"/>
    <w:rsid w:val="3F4F55FF"/>
    <w:rsid w:val="59F55223"/>
    <w:rsid w:val="60DA4050"/>
    <w:rsid w:val="62E6391C"/>
    <w:rsid w:val="7C6A2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uiPriority w:val="0"/>
    <w:rPr>
      <w:rFonts w:ascii="仿宋" w:hAnsi="仿宋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266</Words>
  <Characters>1519</Characters>
  <Lines>12</Lines>
  <Paragraphs>3</Paragraphs>
  <TotalTime>2</TotalTime>
  <ScaleCrop>false</ScaleCrop>
  <LinksUpToDate>false</LinksUpToDate>
  <CharactersWithSpaces>1782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2025-06-26T04:44:00Z</dcterms:created>
  <dc:creator>张萌</dc:creator>
  <cp:lastModifiedBy>张萌</cp:lastModifiedBy>
  <dcterms:modified xsi:type="dcterms:W3CDTF">2025-07-18T01:59:54Z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FFC7EE489B9C426592DD84E530C8E065_13</vt:lpwstr>
  </property>
</Properties>
</file>