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2B9173">
      <w:pPr>
        <w:pStyle w:val="13"/>
        <w:jc w:val="center"/>
        <w:rPr>
          <w:sz w:val="56"/>
          <w:szCs w:val="56"/>
        </w:rPr>
      </w:pPr>
    </w:p>
    <w:p w14:paraId="42058A1D">
      <w:pPr>
        <w:pStyle w:val="13"/>
        <w:jc w:val="center"/>
        <w:rPr>
          <w:sz w:val="56"/>
          <w:szCs w:val="56"/>
        </w:rPr>
      </w:pPr>
    </w:p>
    <w:p w14:paraId="55833043">
      <w:pPr>
        <w:pStyle w:val="13"/>
        <w:jc w:val="center"/>
        <w:rPr>
          <w:sz w:val="84"/>
          <w:szCs w:val="84"/>
        </w:rPr>
      </w:pPr>
    </w:p>
    <w:p w14:paraId="6724EE88">
      <w:pPr>
        <w:pStyle w:val="13"/>
        <w:jc w:val="center"/>
        <w:rPr>
          <w:sz w:val="84"/>
          <w:szCs w:val="84"/>
        </w:rPr>
      </w:pPr>
    </w:p>
    <w:p w14:paraId="7620E725">
      <w:pPr>
        <w:pStyle w:val="13"/>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lang w:eastAsia="zh-CN"/>
        </w:rPr>
        <w:t>2025年</w:t>
      </w:r>
      <w:r>
        <w:rPr>
          <w:rFonts w:hint="eastAsia" w:ascii="方正小标宋_GBK" w:hAnsi="方正小标宋_GBK" w:eastAsia="方正小标宋_GBK" w:cs="方正小标宋_GBK"/>
          <w:sz w:val="84"/>
          <w:szCs w:val="84"/>
        </w:rPr>
        <w:t>度</w:t>
      </w:r>
    </w:p>
    <w:p w14:paraId="707DC4FF">
      <w:pPr>
        <w:pStyle w:val="13"/>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lang w:val="en-US" w:eastAsia="zh-CN"/>
        </w:rPr>
        <w:t>岳阳市公路建设和养护中心</w:t>
      </w:r>
      <w:r>
        <w:rPr>
          <w:rFonts w:hint="eastAsia" w:ascii="方正小标宋_GBK" w:hAnsi="方正小标宋_GBK" w:eastAsia="方正小标宋_GBK" w:cs="方正小标宋_GBK"/>
          <w:sz w:val="84"/>
          <w:szCs w:val="84"/>
        </w:rPr>
        <w:t>部门决算</w:t>
      </w:r>
    </w:p>
    <w:p w14:paraId="136DCE50">
      <w:pPr>
        <w:pStyle w:val="13"/>
        <w:jc w:val="center"/>
        <w:rPr>
          <w:rFonts w:hint="eastAsia" w:ascii="方正小标宋_GBK" w:hAnsi="方正小标宋_GBK" w:eastAsia="方正小标宋_GBK" w:cs="方正小标宋_GBK"/>
          <w:sz w:val="56"/>
          <w:szCs w:val="56"/>
        </w:rPr>
      </w:pPr>
    </w:p>
    <w:p w14:paraId="3A9B25CD">
      <w:pPr>
        <w:pStyle w:val="13"/>
        <w:jc w:val="center"/>
        <w:rPr>
          <w:sz w:val="56"/>
          <w:szCs w:val="56"/>
        </w:rPr>
      </w:pPr>
    </w:p>
    <w:p w14:paraId="39AEA99A">
      <w:pPr>
        <w:pStyle w:val="13"/>
        <w:jc w:val="center"/>
        <w:rPr>
          <w:sz w:val="56"/>
          <w:szCs w:val="56"/>
        </w:rPr>
      </w:pPr>
    </w:p>
    <w:p w14:paraId="61A897F5">
      <w:pPr>
        <w:pStyle w:val="13"/>
        <w:jc w:val="center"/>
        <w:rPr>
          <w:sz w:val="56"/>
          <w:szCs w:val="56"/>
        </w:rPr>
      </w:pPr>
    </w:p>
    <w:p w14:paraId="771CFE2B">
      <w:pPr>
        <w:pStyle w:val="13"/>
        <w:jc w:val="center"/>
        <w:rPr>
          <w:sz w:val="32"/>
          <w:szCs w:val="32"/>
        </w:rPr>
      </w:pPr>
    </w:p>
    <w:p w14:paraId="376ED6D5">
      <w:pPr>
        <w:pStyle w:val="13"/>
        <w:jc w:val="center"/>
        <w:rPr>
          <w:sz w:val="32"/>
          <w:szCs w:val="32"/>
        </w:rPr>
      </w:pPr>
    </w:p>
    <w:p w14:paraId="6266ABCE">
      <w:pPr>
        <w:pStyle w:val="13"/>
        <w:jc w:val="center"/>
        <w:rPr>
          <w:sz w:val="32"/>
          <w:szCs w:val="32"/>
        </w:rPr>
      </w:pPr>
    </w:p>
    <w:p w14:paraId="23A9C49E">
      <w:pPr>
        <w:pStyle w:val="13"/>
        <w:jc w:val="center"/>
        <w:rPr>
          <w:sz w:val="32"/>
          <w:szCs w:val="32"/>
        </w:rPr>
      </w:pPr>
    </w:p>
    <w:p w14:paraId="63BF114F">
      <w:pPr>
        <w:pStyle w:val="13"/>
        <w:jc w:val="center"/>
        <w:rPr>
          <w:sz w:val="32"/>
          <w:szCs w:val="32"/>
        </w:rPr>
      </w:pPr>
    </w:p>
    <w:p w14:paraId="3DF195F9">
      <w:pPr>
        <w:pStyle w:val="13"/>
        <w:spacing w:line="540" w:lineRule="exact"/>
        <w:jc w:val="center"/>
        <w:rPr>
          <w:sz w:val="56"/>
          <w:szCs w:val="56"/>
        </w:rPr>
      </w:pPr>
    </w:p>
    <w:p w14:paraId="29A86608">
      <w:pPr>
        <w:pStyle w:val="13"/>
        <w:spacing w:line="500" w:lineRule="exact"/>
        <w:jc w:val="both"/>
        <w:rPr>
          <w:b/>
          <w:sz w:val="36"/>
          <w:szCs w:val="28"/>
        </w:rPr>
      </w:pPr>
    </w:p>
    <w:p w14:paraId="094F7DEC">
      <w:pPr>
        <w:pStyle w:val="13"/>
        <w:spacing w:line="500" w:lineRule="exact"/>
        <w:jc w:val="center"/>
        <w:rPr>
          <w:b/>
          <w:sz w:val="36"/>
          <w:szCs w:val="28"/>
        </w:rPr>
      </w:pPr>
      <w:r>
        <w:rPr>
          <w:rFonts w:hint="eastAsia"/>
          <w:b/>
          <w:sz w:val="36"/>
          <w:szCs w:val="28"/>
        </w:rPr>
        <w:t>目录</w:t>
      </w:r>
    </w:p>
    <w:p w14:paraId="10754E2F">
      <w:pPr>
        <w:pStyle w:val="13"/>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第一部分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XX</w:t>
      </w:r>
      <w:r>
        <w:rPr>
          <w:rFonts w:hint="eastAsia" w:ascii="黑体" w:hAnsi="黑体" w:eastAsia="黑体" w:cs="黑体"/>
          <w:b w:val="0"/>
          <w:bCs/>
          <w:sz w:val="28"/>
          <w:szCs w:val="28"/>
          <w:lang w:eastAsia="zh-CN"/>
        </w:rPr>
        <w:t>部门（</w:t>
      </w:r>
      <w:r>
        <w:rPr>
          <w:rFonts w:hint="eastAsia" w:ascii="黑体" w:hAnsi="黑体" w:eastAsia="黑体" w:cs="黑体"/>
          <w:b w:val="0"/>
          <w:bCs/>
          <w:sz w:val="28"/>
          <w:szCs w:val="28"/>
        </w:rPr>
        <w:t>单位</w:t>
      </w:r>
      <w:r>
        <w:rPr>
          <w:rFonts w:hint="eastAsia" w:ascii="黑体" w:hAnsi="黑体" w:eastAsia="黑体" w:cs="黑体"/>
          <w:b w:val="0"/>
          <w:bCs/>
          <w:sz w:val="28"/>
          <w:szCs w:val="28"/>
          <w:lang w:eastAsia="zh-CN"/>
        </w:rPr>
        <w:t>）</w:t>
      </w:r>
      <w:r>
        <w:rPr>
          <w:rFonts w:hint="eastAsia" w:ascii="黑体" w:hAnsi="黑体" w:eastAsia="黑体" w:cs="黑体"/>
          <w:b w:val="0"/>
          <w:bCs/>
          <w:sz w:val="28"/>
          <w:szCs w:val="28"/>
        </w:rPr>
        <w:t>概况</w:t>
      </w:r>
    </w:p>
    <w:p w14:paraId="5E02DA04">
      <w:pPr>
        <w:pStyle w:val="13"/>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一、部门职责</w:t>
      </w:r>
    </w:p>
    <w:p w14:paraId="5D8E2E4B">
      <w:pPr>
        <w:pStyle w:val="13"/>
        <w:spacing w:line="500" w:lineRule="exact"/>
        <w:ind w:firstLine="700" w:firstLineChars="250"/>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二、机构设置</w:t>
      </w:r>
      <w:r>
        <w:rPr>
          <w:rFonts w:hint="eastAsia" w:ascii="仿宋_GB2312" w:hAnsi="仿宋_GB2312" w:eastAsia="仿宋_GB2312" w:cs="仿宋_GB2312"/>
          <w:sz w:val="28"/>
          <w:szCs w:val="28"/>
          <w:lang w:eastAsia="zh-CN"/>
        </w:rPr>
        <w:t>及决算单位构成</w:t>
      </w:r>
    </w:p>
    <w:p w14:paraId="6540DF01">
      <w:pPr>
        <w:pStyle w:val="13"/>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第二部分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部门决算表</w:t>
      </w:r>
    </w:p>
    <w:p w14:paraId="0880EA43">
      <w:pPr>
        <w:pStyle w:val="13"/>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一、收入支出决算总表</w:t>
      </w:r>
    </w:p>
    <w:p w14:paraId="2B77995D">
      <w:pPr>
        <w:pStyle w:val="13"/>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二、收入决算表</w:t>
      </w:r>
    </w:p>
    <w:p w14:paraId="1C9AAECE">
      <w:pPr>
        <w:pStyle w:val="13"/>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三、支出决算表</w:t>
      </w:r>
    </w:p>
    <w:p w14:paraId="3AEC2847">
      <w:pPr>
        <w:pStyle w:val="13"/>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四、财政拨款收入支出决算总表</w:t>
      </w:r>
    </w:p>
    <w:p w14:paraId="1943D51E">
      <w:pPr>
        <w:pStyle w:val="13"/>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五、一般公共预算财政拨款支出决算表</w:t>
      </w:r>
    </w:p>
    <w:p w14:paraId="3FBD0180">
      <w:pPr>
        <w:pStyle w:val="13"/>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六、一般公共预算财政拨款基本支出决算明细表</w:t>
      </w:r>
    </w:p>
    <w:p w14:paraId="7BCC9C40">
      <w:pPr>
        <w:pStyle w:val="13"/>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七、政府性基金预算财政拨款收入支出决算表</w:t>
      </w:r>
    </w:p>
    <w:p w14:paraId="7795BEA3">
      <w:pPr>
        <w:pStyle w:val="13"/>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八、国有资本经营预算财政拨款支出决算表</w:t>
      </w:r>
    </w:p>
    <w:p w14:paraId="17AA6ED3">
      <w:pPr>
        <w:pStyle w:val="13"/>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九、财政拨款“三公”经费支出决算表</w:t>
      </w:r>
    </w:p>
    <w:p w14:paraId="514C6F5C">
      <w:pPr>
        <w:pStyle w:val="13"/>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第三部分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部门决算情况说明</w:t>
      </w:r>
    </w:p>
    <w:p w14:paraId="36E07D02">
      <w:pPr>
        <w:pStyle w:val="13"/>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一、收入支出决算总体情况说明</w:t>
      </w:r>
    </w:p>
    <w:p w14:paraId="0858765F">
      <w:pPr>
        <w:spacing w:line="500" w:lineRule="exact"/>
        <w:ind w:firstLine="700" w:firstLineChars="25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二、收入决算情况说明</w:t>
      </w:r>
    </w:p>
    <w:p w14:paraId="1E0277AD">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三、支出决算情况说明</w:t>
      </w:r>
    </w:p>
    <w:p w14:paraId="7EDC7AE4">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四、财政拨款收入支出决算总体情况说明</w:t>
      </w:r>
    </w:p>
    <w:p w14:paraId="2BE90CCB">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五、一般公共预算财政拨款支出决算情况说明</w:t>
      </w:r>
    </w:p>
    <w:p w14:paraId="7FE189BE">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六、一般公共预算财政拨款基本支出决算情况说明</w:t>
      </w:r>
    </w:p>
    <w:p w14:paraId="3C366B29">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jc w:val="left"/>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七、政府性基金预算收入支出决算情况</w:t>
      </w:r>
    </w:p>
    <w:p w14:paraId="3BFFD24A">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jc w:val="left"/>
        <w:textAlignment w:val="auto"/>
        <w:rPr>
          <w:rFonts w:hint="eastAsia" w:ascii="仿宋_GB2312" w:hAnsi="仿宋_GB2312" w:eastAsia="仿宋_GB2312" w:cs="仿宋_GB2312"/>
          <w:color w:val="000000"/>
          <w:kern w:val="0"/>
          <w:sz w:val="28"/>
          <w:szCs w:val="28"/>
          <w:highlight w:val="yellow"/>
        </w:rPr>
      </w:pPr>
      <w:r>
        <w:rPr>
          <w:rFonts w:hint="eastAsia" w:ascii="仿宋_GB2312" w:hAnsi="仿宋_GB2312" w:eastAsia="仿宋_GB2312" w:cs="仿宋_GB2312"/>
          <w:color w:val="000000"/>
          <w:kern w:val="0"/>
          <w:sz w:val="28"/>
          <w:szCs w:val="28"/>
          <w:highlight w:val="none"/>
        </w:rPr>
        <w:t>八、</w:t>
      </w:r>
      <w:r>
        <w:rPr>
          <w:rFonts w:hint="eastAsia" w:ascii="仿宋_GB2312" w:hAnsi="仿宋_GB2312" w:eastAsia="仿宋_GB2312" w:cs="仿宋_GB2312"/>
          <w:sz w:val="28"/>
          <w:szCs w:val="28"/>
          <w:highlight w:val="none"/>
        </w:rPr>
        <w:t>国有资本经营预算财政拨款支出决算</w:t>
      </w:r>
      <w:r>
        <w:rPr>
          <w:rFonts w:hint="eastAsia" w:ascii="仿宋_GB2312" w:hAnsi="仿宋_GB2312" w:eastAsia="仿宋_GB2312" w:cs="仿宋_GB2312"/>
          <w:sz w:val="28"/>
          <w:szCs w:val="28"/>
          <w:highlight w:val="none"/>
          <w:lang w:eastAsia="zh-CN"/>
        </w:rPr>
        <w:t>情况</w:t>
      </w:r>
    </w:p>
    <w:p w14:paraId="795A82E4">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jc w:val="left"/>
        <w:textAlignment w:val="auto"/>
        <w:rPr>
          <w:rFonts w:hint="eastAsia" w:ascii="仿宋_GB2312" w:hAnsi="仿宋_GB2312" w:eastAsia="仿宋_GB2312" w:cs="仿宋_GB2312"/>
          <w:color w:val="000000"/>
          <w:kern w:val="0"/>
          <w:sz w:val="28"/>
          <w:szCs w:val="28"/>
          <w:lang w:eastAsia="zh-CN"/>
        </w:rPr>
      </w:pPr>
      <w:r>
        <w:rPr>
          <w:rFonts w:hint="eastAsia" w:ascii="仿宋_GB2312" w:hAnsi="仿宋_GB2312" w:eastAsia="仿宋_GB2312" w:cs="仿宋_GB2312"/>
          <w:color w:val="000000"/>
          <w:kern w:val="0"/>
          <w:sz w:val="28"/>
          <w:szCs w:val="28"/>
        </w:rPr>
        <w:t>九、财政拨款三公经费支出决算情况说明</w:t>
      </w:r>
    </w:p>
    <w:p w14:paraId="0EAE358F">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jc w:val="left"/>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十、关于机关运行经费支出说明</w:t>
      </w:r>
    </w:p>
    <w:p w14:paraId="36F9426C">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jc w:val="left"/>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十一、一般性支出情况说明</w:t>
      </w:r>
    </w:p>
    <w:p w14:paraId="05890E6F">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jc w:val="left"/>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sz w:val="28"/>
          <w:szCs w:val="28"/>
        </w:rPr>
        <w:t>十二、</w:t>
      </w:r>
      <w:r>
        <w:rPr>
          <w:rFonts w:hint="eastAsia" w:ascii="仿宋_GB2312" w:hAnsi="仿宋_GB2312" w:eastAsia="仿宋_GB2312" w:cs="仿宋_GB2312"/>
          <w:color w:val="000000"/>
          <w:kern w:val="0"/>
          <w:sz w:val="28"/>
          <w:szCs w:val="28"/>
        </w:rPr>
        <w:t>关于政府采购支出说明</w:t>
      </w:r>
    </w:p>
    <w:p w14:paraId="1690B0DD">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textAlignment w:val="auto"/>
        <w:rPr>
          <w:rFonts w:hint="eastAsia" w:ascii="仿宋_GB2312" w:hAnsi="仿宋_GB2312" w:eastAsia="仿宋_GB2312" w:cs="仿宋_GB2312"/>
          <w:color w:val="000000"/>
          <w:kern w:val="0"/>
          <w:sz w:val="28"/>
          <w:szCs w:val="28"/>
          <w:lang w:val="en-US" w:eastAsia="zh-CN" w:bidi="ar-SA"/>
        </w:rPr>
      </w:pPr>
      <w:r>
        <w:rPr>
          <w:rFonts w:hint="eastAsia" w:ascii="仿宋_GB2312" w:hAnsi="仿宋_GB2312" w:eastAsia="仿宋_GB2312" w:cs="仿宋_GB2312"/>
          <w:color w:val="000000"/>
          <w:kern w:val="0"/>
          <w:sz w:val="28"/>
          <w:szCs w:val="28"/>
          <w:lang w:val="en-US" w:eastAsia="zh-CN" w:bidi="ar-SA"/>
        </w:rPr>
        <w:t>十三、关于国有资产占用情况说明</w:t>
      </w:r>
    </w:p>
    <w:p w14:paraId="61DDF166">
      <w:pPr>
        <w:pStyle w:val="13"/>
        <w:spacing w:line="500" w:lineRule="exact"/>
        <w:ind w:firstLine="700" w:firstLineChars="250"/>
        <w:rPr>
          <w:rFonts w:hint="eastAsia" w:ascii="仿宋_GB2312" w:hAnsi="仿宋_GB2312" w:eastAsia="仿宋_GB2312" w:cs="仿宋_GB2312"/>
          <w:sz w:val="28"/>
          <w:szCs w:val="28"/>
          <w:highlight w:val="none"/>
        </w:rPr>
      </w:pPr>
      <w:r>
        <w:rPr>
          <w:rFonts w:hint="eastAsia" w:ascii="仿宋_GB2312" w:hAnsi="仿宋_GB2312" w:eastAsia="仿宋_GB2312" w:cs="仿宋_GB2312"/>
          <w:color w:val="000000"/>
          <w:kern w:val="0"/>
          <w:sz w:val="28"/>
          <w:szCs w:val="28"/>
          <w:highlight w:val="none"/>
          <w:lang w:val="en-US" w:eastAsia="zh-CN" w:bidi="ar-SA"/>
        </w:rPr>
        <w:t>十四、</w:t>
      </w:r>
      <w:r>
        <w:rPr>
          <w:rFonts w:hint="eastAsia" w:ascii="仿宋_GB2312" w:hAnsi="仿宋_GB2312" w:eastAsia="仿宋_GB2312" w:cs="仿宋_GB2312"/>
          <w:sz w:val="28"/>
          <w:szCs w:val="28"/>
          <w:highlight w:val="none"/>
        </w:rPr>
        <w:t>关于</w:t>
      </w:r>
      <w:r>
        <w:rPr>
          <w:rFonts w:hint="eastAsia" w:ascii="Times New Roman" w:hAnsi="Times New Roman" w:eastAsia="仿宋_GB2312" w:cs="Times New Roman"/>
          <w:sz w:val="28"/>
          <w:szCs w:val="28"/>
          <w:highlight w:val="none"/>
          <w:lang w:eastAsia="zh-CN"/>
        </w:rPr>
        <w:t>2025年</w:t>
      </w:r>
      <w:r>
        <w:rPr>
          <w:rFonts w:hint="eastAsia" w:ascii="仿宋_GB2312" w:hAnsi="仿宋_GB2312" w:eastAsia="仿宋_GB2312" w:cs="仿宋_GB2312"/>
          <w:sz w:val="28"/>
          <w:szCs w:val="28"/>
          <w:highlight w:val="none"/>
        </w:rPr>
        <w:t>度</w:t>
      </w:r>
      <w:r>
        <w:rPr>
          <w:rFonts w:hint="eastAsia" w:ascii="仿宋_GB2312" w:hAnsi="仿宋_GB2312" w:eastAsia="仿宋_GB2312" w:cs="仿宋_GB2312"/>
          <w:sz w:val="28"/>
          <w:szCs w:val="28"/>
          <w:highlight w:val="none"/>
          <w:lang w:eastAsia="zh-CN"/>
        </w:rPr>
        <w:t>预算</w:t>
      </w:r>
      <w:r>
        <w:rPr>
          <w:rFonts w:hint="eastAsia" w:ascii="仿宋_GB2312" w:hAnsi="仿宋_GB2312" w:eastAsia="仿宋_GB2312" w:cs="仿宋_GB2312"/>
          <w:sz w:val="28"/>
          <w:szCs w:val="28"/>
          <w:highlight w:val="none"/>
        </w:rPr>
        <w:t>绩效</w:t>
      </w:r>
      <w:r>
        <w:rPr>
          <w:rFonts w:hint="eastAsia" w:ascii="仿宋_GB2312" w:hAnsi="仿宋_GB2312" w:eastAsia="仿宋_GB2312" w:cs="仿宋_GB2312"/>
          <w:sz w:val="28"/>
          <w:szCs w:val="28"/>
          <w:highlight w:val="none"/>
          <w:lang w:eastAsia="zh-CN"/>
        </w:rPr>
        <w:t>管理</w:t>
      </w:r>
      <w:r>
        <w:rPr>
          <w:rFonts w:hint="eastAsia" w:ascii="仿宋_GB2312" w:hAnsi="仿宋_GB2312" w:eastAsia="仿宋_GB2312" w:cs="仿宋_GB2312"/>
          <w:sz w:val="28"/>
          <w:szCs w:val="28"/>
          <w:highlight w:val="none"/>
        </w:rPr>
        <w:t>情况的说明</w:t>
      </w:r>
    </w:p>
    <w:p w14:paraId="325F3380">
      <w:pPr>
        <w:pStyle w:val="13"/>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第四部分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名词解释</w:t>
      </w:r>
    </w:p>
    <w:p w14:paraId="34814A9E">
      <w:pPr>
        <w:pStyle w:val="13"/>
        <w:spacing w:line="500" w:lineRule="exact"/>
        <w:rPr>
          <w:rFonts w:hint="eastAsia" w:ascii="黑体" w:hAnsi="黑体" w:eastAsia="黑体" w:cs="黑体"/>
          <w:b w:val="0"/>
          <w:bCs/>
          <w:sz w:val="28"/>
          <w:szCs w:val="28"/>
          <w:lang w:eastAsia="zh-CN"/>
        </w:rPr>
      </w:pPr>
      <w:r>
        <w:rPr>
          <w:rFonts w:hint="eastAsia" w:ascii="黑体" w:hAnsi="黑体" w:eastAsia="黑体" w:cs="黑体"/>
          <w:b w:val="0"/>
          <w:bCs/>
          <w:sz w:val="28"/>
          <w:szCs w:val="28"/>
        </w:rPr>
        <w:t>第</w:t>
      </w:r>
      <w:r>
        <w:rPr>
          <w:rFonts w:hint="eastAsia" w:hAnsi="黑体" w:cs="黑体"/>
          <w:b w:val="0"/>
          <w:bCs/>
          <w:sz w:val="28"/>
          <w:szCs w:val="28"/>
          <w:lang w:eastAsia="zh-CN"/>
        </w:rPr>
        <w:t>五</w:t>
      </w:r>
      <w:r>
        <w:rPr>
          <w:rFonts w:hint="eastAsia" w:ascii="黑体" w:hAnsi="黑体" w:eastAsia="黑体" w:cs="黑体"/>
          <w:b w:val="0"/>
          <w:bCs/>
          <w:sz w:val="28"/>
          <w:szCs w:val="28"/>
        </w:rPr>
        <w:t>部分</w:t>
      </w:r>
      <w:r>
        <w:rPr>
          <w:rFonts w:hint="eastAsia" w:ascii="黑体" w:hAnsi="黑体" w:eastAsia="黑体" w:cs="黑体"/>
          <w:b w:val="0"/>
          <w:bCs/>
          <w:sz w:val="28"/>
          <w:szCs w:val="28"/>
          <w:lang w:val="en-US" w:eastAsia="zh-CN"/>
        </w:rPr>
        <w:t xml:space="preserve"> </w:t>
      </w:r>
      <w:r>
        <w:rPr>
          <w:rFonts w:hint="eastAsia" w:hAnsi="黑体" w:cs="黑体"/>
          <w:b w:val="0"/>
          <w:bCs/>
          <w:sz w:val="28"/>
          <w:szCs w:val="28"/>
          <w:lang w:eastAsia="zh-CN"/>
        </w:rPr>
        <w:t>附件</w:t>
      </w:r>
    </w:p>
    <w:p w14:paraId="4771CA62">
      <w:pPr>
        <w:pStyle w:val="13"/>
        <w:jc w:val="center"/>
        <w:rPr>
          <w:rFonts w:hint="eastAsia" w:ascii="方正小标宋_GBK" w:hAnsi="方正小标宋_GBK" w:eastAsia="方正小标宋_GBK" w:cs="方正小标宋_GBK"/>
          <w:sz w:val="84"/>
          <w:szCs w:val="84"/>
        </w:rPr>
      </w:pPr>
    </w:p>
    <w:p w14:paraId="20BA0FB2">
      <w:pPr>
        <w:pStyle w:val="13"/>
        <w:jc w:val="center"/>
        <w:rPr>
          <w:rFonts w:hint="eastAsia" w:ascii="方正小标宋_GBK" w:hAnsi="方正小标宋_GBK" w:eastAsia="方正小标宋_GBK" w:cs="方正小标宋_GBK"/>
          <w:sz w:val="84"/>
          <w:szCs w:val="84"/>
        </w:rPr>
      </w:pPr>
    </w:p>
    <w:p w14:paraId="25D4CB12">
      <w:pPr>
        <w:pStyle w:val="13"/>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 xml:space="preserve">第一部分 </w:t>
      </w:r>
    </w:p>
    <w:p w14:paraId="625B70A8">
      <w:pPr>
        <w:pStyle w:val="13"/>
        <w:jc w:val="center"/>
        <w:rPr>
          <w:rFonts w:hint="eastAsia" w:ascii="方正小标宋_GBK" w:hAnsi="方正小标宋_GBK" w:eastAsia="方正小标宋_GBK" w:cs="方正小标宋_GBK"/>
          <w:sz w:val="84"/>
          <w:szCs w:val="84"/>
        </w:rPr>
      </w:pPr>
    </w:p>
    <w:p w14:paraId="66108751">
      <w:pPr>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lang w:val="en-US" w:eastAsia="zh-CN"/>
        </w:rPr>
        <w:t>岳阳市公路建设和养护中心</w:t>
      </w:r>
      <w:r>
        <w:rPr>
          <w:rFonts w:hint="eastAsia" w:ascii="方正小标宋_GBK" w:hAnsi="方正小标宋_GBK" w:eastAsia="方正小标宋_GBK" w:cs="方正小标宋_GBK"/>
          <w:sz w:val="84"/>
          <w:szCs w:val="84"/>
        </w:rPr>
        <w:t>概况</w:t>
      </w:r>
    </w:p>
    <w:p w14:paraId="7A60D804">
      <w:pPr>
        <w:pStyle w:val="2"/>
        <w:rPr>
          <w:rFonts w:hint="eastAsia" w:ascii="方正小标宋_GBK" w:hAnsi="方正小标宋_GBK" w:eastAsia="方正小标宋_GBK" w:cs="方正小标宋_GBK"/>
          <w:sz w:val="84"/>
          <w:szCs w:val="84"/>
        </w:rPr>
      </w:pPr>
    </w:p>
    <w:p w14:paraId="66852E25">
      <w:pPr>
        <w:pStyle w:val="3"/>
        <w:rPr>
          <w:rFonts w:hint="eastAsia" w:ascii="方正小标宋_GBK" w:hAnsi="方正小标宋_GBK" w:eastAsia="方正小标宋_GBK" w:cs="方正小标宋_GBK"/>
          <w:sz w:val="84"/>
          <w:szCs w:val="84"/>
        </w:rPr>
      </w:pPr>
    </w:p>
    <w:p w14:paraId="6FE65164">
      <w:pPr>
        <w:rPr>
          <w:rFonts w:hint="eastAsia" w:ascii="方正小标宋_GBK" w:hAnsi="方正小标宋_GBK" w:eastAsia="方正小标宋_GBK" w:cs="方正小标宋_GBK"/>
          <w:sz w:val="84"/>
          <w:szCs w:val="84"/>
        </w:rPr>
      </w:pPr>
    </w:p>
    <w:p w14:paraId="1F2A7A6E">
      <w:pPr>
        <w:pStyle w:val="2"/>
        <w:rPr>
          <w:rFonts w:hint="eastAsia" w:ascii="方正小标宋_GBK" w:hAnsi="方正小标宋_GBK" w:eastAsia="方正小标宋_GBK" w:cs="方正小标宋_GBK"/>
          <w:sz w:val="84"/>
          <w:szCs w:val="84"/>
        </w:rPr>
      </w:pPr>
    </w:p>
    <w:p w14:paraId="7F8F4038">
      <w:pPr>
        <w:pStyle w:val="3"/>
        <w:rPr>
          <w:rFonts w:hint="eastAsia" w:ascii="方正小标宋_GBK" w:hAnsi="方正小标宋_GBK" w:eastAsia="方正小标宋_GBK" w:cs="方正小标宋_GBK"/>
          <w:sz w:val="84"/>
          <w:szCs w:val="84"/>
        </w:rPr>
      </w:pPr>
    </w:p>
    <w:p w14:paraId="19CF6353">
      <w:pPr>
        <w:pStyle w:val="14"/>
        <w:numPr>
          <w:ilvl w:val="0"/>
          <w:numId w:val="1"/>
        </w:numPr>
        <w:ind w:firstLineChars="0"/>
        <w:jc w:val="left"/>
        <w:rPr>
          <w:rFonts w:hint="eastAsia" w:ascii="黑体" w:hAnsi="黑体" w:eastAsia="黑体" w:cs="黑体"/>
          <w:b w:val="0"/>
          <w:bCs w:val="0"/>
          <w:sz w:val="32"/>
          <w:szCs w:val="32"/>
        </w:rPr>
      </w:pPr>
      <w:r>
        <w:rPr>
          <w:rFonts w:hint="eastAsia" w:ascii="黑体" w:hAnsi="黑体" w:eastAsia="黑体" w:cs="黑体"/>
          <w:b w:val="0"/>
          <w:bCs w:val="0"/>
          <w:sz w:val="32"/>
          <w:szCs w:val="32"/>
        </w:rPr>
        <w:t>部门职责</w:t>
      </w:r>
    </w:p>
    <w:p w14:paraId="587F7B25">
      <w:pPr>
        <w:pStyle w:val="8"/>
        <w:shd w:val="clear" w:color="auto" w:fill="FFFFFF"/>
        <w:spacing w:before="0" w:beforeLines="0" w:beforeAutospacing="0" w:after="0" w:afterLines="0" w:afterAutospacing="0" w:line="480" w:lineRule="auto"/>
        <w:ind w:firstLine="480"/>
        <w:jc w:val="both"/>
        <w:rPr>
          <w:rFonts w:hint="eastAsia" w:ascii="仿宋" w:hAnsi="仿宋" w:eastAsia="仿宋" w:cs="Times New Roman"/>
          <w:kern w:val="2"/>
          <w:sz w:val="32"/>
          <w:szCs w:val="24"/>
          <w:lang w:val="en-US" w:eastAsia="zh-CN"/>
        </w:rPr>
      </w:pPr>
      <w:r>
        <w:rPr>
          <w:rFonts w:hint="eastAsia" w:ascii="Times New Roman" w:hAnsi="Times New Roman" w:eastAsia="仿宋_GB2312" w:cs="仿宋_GB2312"/>
          <w:sz w:val="32"/>
          <w:szCs w:val="32"/>
        </w:rPr>
        <w:t>（一）</w:t>
      </w:r>
      <w:r>
        <w:rPr>
          <w:rFonts w:hint="eastAsia" w:ascii="仿宋" w:hAnsi="仿宋" w:eastAsia="仿宋" w:cs="Times New Roman"/>
          <w:kern w:val="2"/>
          <w:sz w:val="32"/>
          <w:szCs w:val="24"/>
          <w:lang w:val="en-US" w:eastAsia="zh-CN"/>
        </w:rPr>
        <w:t>为机关提供支持保障的职能</w:t>
      </w:r>
    </w:p>
    <w:p w14:paraId="395999FE">
      <w:pPr>
        <w:pStyle w:val="8"/>
        <w:shd w:val="clear" w:color="auto" w:fill="FFFFFF"/>
        <w:spacing w:before="0" w:beforeLines="0" w:beforeAutospacing="0" w:after="0" w:afterLines="0" w:afterAutospacing="0" w:line="480" w:lineRule="auto"/>
        <w:ind w:firstLine="640" w:firstLineChars="200"/>
        <w:jc w:val="both"/>
        <w:rPr>
          <w:rFonts w:hint="eastAsia" w:ascii="仿宋" w:hAnsi="仿宋" w:eastAsia="仿宋" w:cs="Times New Roman"/>
          <w:kern w:val="2"/>
          <w:sz w:val="32"/>
          <w:szCs w:val="24"/>
        </w:rPr>
      </w:pPr>
      <w:r>
        <w:rPr>
          <w:rFonts w:hint="eastAsia" w:ascii="仿宋" w:hAnsi="仿宋" w:eastAsia="仿宋" w:cs="Times New Roman"/>
          <w:kern w:val="2"/>
          <w:sz w:val="32"/>
          <w:szCs w:val="24"/>
          <w:lang w:val="en-US" w:eastAsia="zh-CN"/>
        </w:rPr>
        <w:t>1、</w:t>
      </w:r>
      <w:r>
        <w:rPr>
          <w:rFonts w:hint="eastAsia" w:ascii="仿宋" w:hAnsi="仿宋" w:eastAsia="仿宋" w:cs="Times New Roman"/>
          <w:kern w:val="2"/>
          <w:sz w:val="32"/>
          <w:szCs w:val="24"/>
        </w:rPr>
        <w:t>参与拟订全市公路行业发展战略、中长期发展规划;协助开展公路项目前期工作审查相关事务性工作，负责协调实施主体推进规划实施。</w:t>
      </w:r>
    </w:p>
    <w:p w14:paraId="5DDB6A42">
      <w:pPr>
        <w:pStyle w:val="8"/>
        <w:shd w:val="clear" w:color="auto" w:fill="FFFFFF"/>
        <w:spacing w:before="0" w:beforeLines="0" w:beforeAutospacing="0" w:after="0" w:afterLines="0" w:afterAutospacing="0" w:line="480" w:lineRule="auto"/>
        <w:ind w:firstLine="640" w:firstLineChars="200"/>
        <w:jc w:val="both"/>
        <w:rPr>
          <w:rFonts w:hint="eastAsia" w:ascii="仿宋" w:hAnsi="仿宋" w:eastAsia="仿宋" w:cs="Times New Roman"/>
          <w:kern w:val="2"/>
          <w:sz w:val="32"/>
          <w:szCs w:val="24"/>
        </w:rPr>
      </w:pPr>
      <w:r>
        <w:rPr>
          <w:rFonts w:hint="eastAsia" w:ascii="仿宋" w:hAnsi="仿宋" w:eastAsia="仿宋" w:cs="Times New Roman"/>
          <w:kern w:val="2"/>
          <w:sz w:val="32"/>
          <w:szCs w:val="24"/>
          <w:lang w:val="en-US" w:eastAsia="zh-CN"/>
        </w:rPr>
        <w:t>2、</w:t>
      </w:r>
      <w:r>
        <w:rPr>
          <w:rFonts w:hint="eastAsia" w:ascii="仿宋" w:hAnsi="仿宋" w:eastAsia="仿宋" w:cs="Times New Roman"/>
          <w:kern w:val="2"/>
          <w:sz w:val="32"/>
          <w:szCs w:val="24"/>
        </w:rPr>
        <w:t>参与普通国省道建设、政造年度建议计划初审工作，编制普通国省道年度养护计划；负责全市普通国省道建设、改造、养护行业管理的业务指导和绩效考校工作；指导、协调全市普通国省道建设、改造、养护管理工作；</w:t>
      </w:r>
      <w:r>
        <w:rPr>
          <w:rFonts w:hint="eastAsia" w:ascii="仿宋" w:hAnsi="仿宋" w:eastAsia="仿宋" w:cs="Times New Roman"/>
          <w:kern w:val="2"/>
          <w:sz w:val="32"/>
          <w:szCs w:val="24"/>
          <w:lang w:val="en-US" w:eastAsia="zh-CN"/>
        </w:rPr>
        <w:t>负责</w:t>
      </w:r>
      <w:r>
        <w:rPr>
          <w:rFonts w:hint="eastAsia" w:ascii="仿宋" w:hAnsi="仿宋" w:eastAsia="仿宋" w:cs="Times New Roman"/>
          <w:kern w:val="2"/>
          <w:sz w:val="32"/>
          <w:szCs w:val="24"/>
        </w:rPr>
        <w:t>107国道岳阳段和市区城市道路以外普通公路的建设、养护、路产路权保护及汽车渡运等事务性工作。</w:t>
      </w:r>
    </w:p>
    <w:p w14:paraId="47134084">
      <w:pPr>
        <w:pStyle w:val="8"/>
        <w:shd w:val="clear" w:color="auto" w:fill="FFFFFF"/>
        <w:spacing w:before="0" w:beforeLines="0" w:beforeAutospacing="0" w:after="0" w:afterLines="0" w:afterAutospacing="0" w:line="480" w:lineRule="auto"/>
        <w:ind w:firstLine="640" w:firstLineChars="200"/>
        <w:jc w:val="both"/>
        <w:rPr>
          <w:rFonts w:hint="eastAsia" w:ascii="仿宋" w:hAnsi="仿宋" w:eastAsia="仿宋" w:cs="Times New Roman"/>
          <w:kern w:val="2"/>
          <w:sz w:val="32"/>
          <w:szCs w:val="24"/>
        </w:rPr>
      </w:pPr>
      <w:r>
        <w:rPr>
          <w:rFonts w:hint="eastAsia" w:ascii="仿宋" w:hAnsi="仿宋" w:eastAsia="仿宋" w:cs="Times New Roman"/>
          <w:kern w:val="2"/>
          <w:sz w:val="32"/>
          <w:szCs w:val="24"/>
          <w:lang w:val="en-US" w:eastAsia="zh-CN"/>
        </w:rPr>
        <w:t>3、</w:t>
      </w:r>
      <w:r>
        <w:rPr>
          <w:rFonts w:hint="eastAsia" w:ascii="仿宋" w:hAnsi="仿宋" w:eastAsia="仿宋" w:cs="Times New Roman"/>
          <w:kern w:val="2"/>
          <w:sz w:val="32"/>
          <w:szCs w:val="24"/>
        </w:rPr>
        <w:t>负责公路行业管理的行政辅助工作；负责指导公路行业安全生产监督和公路交通战备管理的事务性工作。</w:t>
      </w:r>
    </w:p>
    <w:p w14:paraId="094212A0">
      <w:pPr>
        <w:pStyle w:val="8"/>
        <w:shd w:val="clear" w:color="auto" w:fill="FFFFFF"/>
        <w:spacing w:before="0" w:beforeLines="0" w:beforeAutospacing="0" w:after="0" w:afterLines="0" w:afterAutospacing="0" w:line="480" w:lineRule="auto"/>
        <w:ind w:firstLine="640" w:firstLineChars="200"/>
        <w:jc w:val="both"/>
        <w:rPr>
          <w:rFonts w:hint="eastAsia" w:ascii="仿宋" w:hAnsi="仿宋" w:eastAsia="仿宋" w:cs="Times New Roman"/>
          <w:kern w:val="2"/>
          <w:sz w:val="32"/>
          <w:szCs w:val="24"/>
        </w:rPr>
      </w:pPr>
      <w:r>
        <w:rPr>
          <w:rFonts w:hint="eastAsia" w:ascii="仿宋" w:hAnsi="仿宋" w:eastAsia="仿宋" w:cs="Times New Roman"/>
          <w:kern w:val="2"/>
          <w:sz w:val="32"/>
          <w:szCs w:val="24"/>
          <w:lang w:val="en-US" w:eastAsia="zh-CN"/>
        </w:rPr>
        <w:t>4、</w:t>
      </w:r>
      <w:r>
        <w:rPr>
          <w:rFonts w:hint="eastAsia" w:ascii="仿宋" w:hAnsi="仿宋" w:eastAsia="仿宋" w:cs="Times New Roman"/>
          <w:kern w:val="2"/>
          <w:sz w:val="32"/>
          <w:szCs w:val="24"/>
        </w:rPr>
        <w:t>指导、督促公路养护机构维护好公路和公路设施；负责全市公路路网运行监测及养护的技术支撑工作;负责公路应急物资储备和应急设备装备保障，协调指挥全市国省道应急抢险救援工作。</w:t>
      </w:r>
    </w:p>
    <w:p w14:paraId="5A74AC5A">
      <w:pPr>
        <w:pStyle w:val="8"/>
        <w:shd w:val="clear" w:color="auto" w:fill="FFFFFF"/>
        <w:spacing w:before="0" w:beforeLines="0" w:beforeAutospacing="0" w:after="0" w:afterLines="0" w:afterAutospacing="0" w:line="480" w:lineRule="auto"/>
        <w:ind w:firstLine="640" w:firstLineChars="200"/>
        <w:jc w:val="both"/>
        <w:rPr>
          <w:rFonts w:hint="eastAsia" w:ascii="仿宋" w:hAnsi="仿宋" w:eastAsia="仿宋" w:cs="Times New Roman"/>
          <w:kern w:val="2"/>
          <w:sz w:val="32"/>
          <w:szCs w:val="24"/>
        </w:rPr>
      </w:pPr>
      <w:r>
        <w:rPr>
          <w:rFonts w:hint="eastAsia" w:ascii="仿宋" w:hAnsi="仿宋" w:eastAsia="仿宋" w:cs="Times New Roman"/>
          <w:kern w:val="2"/>
          <w:sz w:val="32"/>
          <w:szCs w:val="24"/>
          <w:lang w:val="en-US" w:eastAsia="zh-CN"/>
        </w:rPr>
        <w:t>5、</w:t>
      </w:r>
      <w:r>
        <w:rPr>
          <w:rFonts w:hint="eastAsia" w:ascii="仿宋" w:hAnsi="仿宋" w:eastAsia="仿宋" w:cs="Times New Roman"/>
          <w:kern w:val="2"/>
          <w:sz w:val="32"/>
          <w:szCs w:val="24"/>
        </w:rPr>
        <w:t>负责涉路行政审批的前置技术审核和涉路施工组织方案的安全风险评估、验收，为公路路政工作提供技术文撑和服务保障工作;配合公路抗法机构对公路路产损坏赔补偿进行调查取证，监督执行路损恢复预算与计划。</w:t>
      </w:r>
    </w:p>
    <w:p w14:paraId="64BA83A5">
      <w:pPr>
        <w:pStyle w:val="8"/>
        <w:shd w:val="clear" w:color="auto" w:fill="FFFFFF"/>
        <w:spacing w:before="0" w:beforeLines="0" w:beforeAutospacing="0" w:after="0" w:afterLines="0" w:afterAutospacing="0" w:line="480" w:lineRule="auto"/>
        <w:ind w:firstLine="640" w:firstLineChars="200"/>
        <w:jc w:val="both"/>
        <w:rPr>
          <w:rFonts w:hint="eastAsia" w:ascii="Times New Roman" w:hAnsi="Times New Roman" w:eastAsia="仿宋_GB2312" w:cs="仿宋_GB2312"/>
          <w:sz w:val="32"/>
          <w:szCs w:val="32"/>
        </w:rPr>
      </w:pPr>
      <w:r>
        <w:rPr>
          <w:rFonts w:hint="eastAsia" w:ascii="仿宋" w:hAnsi="仿宋" w:eastAsia="仿宋" w:cs="Times New Roman"/>
          <w:kern w:val="2"/>
          <w:sz w:val="32"/>
          <w:szCs w:val="24"/>
          <w:lang w:val="en-US" w:eastAsia="zh-CN"/>
        </w:rPr>
        <w:t>6、</w:t>
      </w:r>
      <w:r>
        <w:rPr>
          <w:rFonts w:hint="eastAsia" w:ascii="仿宋" w:hAnsi="仿宋" w:eastAsia="仿宋" w:cs="Times New Roman"/>
          <w:kern w:val="2"/>
          <w:sz w:val="32"/>
          <w:szCs w:val="24"/>
        </w:rPr>
        <w:t>负责全市农村公路建设、养护和行业管理的业务指导和绩效考核;协助编制全市农村公路建养年度计划并监督实施的行政辅助工作。</w:t>
      </w:r>
    </w:p>
    <w:p w14:paraId="6D05C94C">
      <w:pPr>
        <w:ind w:firstLine="640" w:firstLineChars="200"/>
        <w:jc w:val="left"/>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（二）</w:t>
      </w:r>
      <w:r>
        <w:rPr>
          <w:rFonts w:hint="eastAsia" w:ascii="仿宋" w:hAnsi="仿宋" w:eastAsia="仿宋" w:cs="Times New Roman"/>
          <w:kern w:val="2"/>
          <w:sz w:val="32"/>
          <w:szCs w:val="24"/>
        </w:rPr>
        <w:t>面向社会提供公益服务的职能</w:t>
      </w:r>
    </w:p>
    <w:p w14:paraId="433F762D">
      <w:pPr>
        <w:pStyle w:val="8"/>
        <w:shd w:val="clear" w:color="auto" w:fill="FFFFFF"/>
        <w:spacing w:before="0" w:beforeLines="0" w:beforeAutospacing="0" w:after="0" w:afterLines="0" w:afterAutospacing="0" w:line="480" w:lineRule="auto"/>
        <w:ind w:firstLine="640" w:firstLineChars="200"/>
        <w:jc w:val="both"/>
        <w:rPr>
          <w:rFonts w:hint="eastAsia" w:ascii="仿宋" w:hAnsi="仿宋" w:eastAsia="仿宋" w:cs="Times New Roman"/>
          <w:kern w:val="2"/>
          <w:sz w:val="32"/>
          <w:szCs w:val="24"/>
        </w:rPr>
      </w:pPr>
      <w:r>
        <w:rPr>
          <w:rFonts w:hint="eastAsia" w:ascii="仿宋" w:hAnsi="仿宋" w:eastAsia="仿宋" w:cs="Times New Roman"/>
          <w:kern w:val="2"/>
          <w:sz w:val="32"/>
          <w:szCs w:val="24"/>
          <w:lang w:val="en-US" w:eastAsia="zh-CN"/>
        </w:rPr>
        <w:t>1、</w:t>
      </w:r>
      <w:r>
        <w:rPr>
          <w:rFonts w:hint="eastAsia" w:ascii="仿宋" w:hAnsi="仿宋" w:eastAsia="仿宋" w:cs="Times New Roman"/>
          <w:kern w:val="2"/>
          <w:sz w:val="32"/>
          <w:szCs w:val="24"/>
        </w:rPr>
        <w:t>负责公路突发事件的监测、预报和预警工作，及时向社会发布有关公路运行信息。</w:t>
      </w:r>
    </w:p>
    <w:p w14:paraId="4C20ADDA">
      <w:pPr>
        <w:pStyle w:val="8"/>
        <w:shd w:val="clear" w:color="auto" w:fill="FFFFFF"/>
        <w:spacing w:before="0" w:beforeLines="0" w:beforeAutospacing="0" w:after="0" w:afterLines="0" w:afterAutospacing="0" w:line="480" w:lineRule="auto"/>
        <w:ind w:firstLine="640" w:firstLineChars="200"/>
        <w:jc w:val="both"/>
        <w:rPr>
          <w:rFonts w:hint="eastAsia" w:ascii="仿宋" w:hAnsi="仿宋" w:eastAsia="仿宋" w:cs="Times New Roman"/>
          <w:kern w:val="2"/>
          <w:sz w:val="32"/>
          <w:szCs w:val="24"/>
        </w:rPr>
      </w:pPr>
      <w:r>
        <w:rPr>
          <w:rFonts w:hint="eastAsia" w:ascii="仿宋" w:hAnsi="仿宋" w:eastAsia="仿宋" w:cs="Times New Roman"/>
          <w:kern w:val="2"/>
          <w:sz w:val="32"/>
          <w:szCs w:val="24"/>
          <w:lang w:val="en-US" w:eastAsia="zh-CN"/>
        </w:rPr>
        <w:t>2、</w:t>
      </w:r>
      <w:r>
        <w:rPr>
          <w:rFonts w:hint="eastAsia" w:ascii="仿宋" w:hAnsi="仿宋" w:eastAsia="仿宋" w:cs="Times New Roman"/>
          <w:kern w:val="2"/>
          <w:sz w:val="32"/>
          <w:szCs w:val="24"/>
        </w:rPr>
        <w:t>负责公路服务区运营服务质量、行业监管的事务性工作。</w:t>
      </w:r>
    </w:p>
    <w:p w14:paraId="7C59D8CD">
      <w:pPr>
        <w:pStyle w:val="8"/>
        <w:shd w:val="clear" w:color="auto" w:fill="FFFFFF"/>
        <w:spacing w:before="0" w:beforeLines="0" w:beforeAutospacing="0" w:after="0" w:afterLines="0" w:afterAutospacing="0" w:line="480" w:lineRule="auto"/>
        <w:ind w:firstLine="640" w:firstLineChars="200"/>
        <w:jc w:val="both"/>
        <w:rPr>
          <w:rFonts w:hint="eastAsia" w:ascii="仿宋" w:hAnsi="仿宋" w:eastAsia="仿宋" w:cs="Times New Roman"/>
          <w:kern w:val="2"/>
          <w:sz w:val="32"/>
          <w:szCs w:val="24"/>
        </w:rPr>
      </w:pPr>
      <w:r>
        <w:rPr>
          <w:rFonts w:hint="eastAsia" w:ascii="仿宋" w:hAnsi="仿宋" w:eastAsia="仿宋" w:cs="Times New Roman"/>
          <w:kern w:val="2"/>
          <w:sz w:val="32"/>
          <w:szCs w:val="24"/>
          <w:lang w:val="en-US" w:eastAsia="zh-CN"/>
        </w:rPr>
        <w:t>3、</w:t>
      </w:r>
      <w:r>
        <w:rPr>
          <w:rFonts w:hint="eastAsia" w:ascii="仿宋" w:hAnsi="仿宋" w:eastAsia="仿宋" w:cs="Times New Roman"/>
          <w:kern w:val="2"/>
          <w:sz w:val="32"/>
          <w:szCs w:val="24"/>
        </w:rPr>
        <w:t>负责公路行业统计、信息调查、技术交流、科技成果转化、信息化、智能化等事务性工作；协助开展公路环保节能减排等事务性工作。</w:t>
      </w:r>
    </w:p>
    <w:p w14:paraId="47817C7F">
      <w:pPr>
        <w:pStyle w:val="8"/>
        <w:shd w:val="clear" w:color="auto" w:fill="FFFFFF"/>
        <w:spacing w:before="0" w:beforeLines="0" w:beforeAutospacing="0" w:after="0" w:afterLines="0" w:afterAutospacing="0" w:line="480" w:lineRule="auto"/>
        <w:ind w:firstLine="640" w:firstLineChars="200"/>
        <w:jc w:val="both"/>
        <w:rPr>
          <w:rFonts w:hint="eastAsia" w:ascii="仿宋" w:hAnsi="仿宋" w:eastAsia="仿宋" w:cs="Times New Roman"/>
          <w:kern w:val="2"/>
          <w:sz w:val="32"/>
          <w:szCs w:val="24"/>
          <w:lang w:eastAsia="zh-CN"/>
        </w:rPr>
      </w:pPr>
      <w:r>
        <w:rPr>
          <w:rFonts w:hint="eastAsia" w:ascii="仿宋" w:hAnsi="仿宋" w:eastAsia="仿宋" w:cs="Times New Roman"/>
          <w:kern w:val="2"/>
          <w:sz w:val="32"/>
          <w:szCs w:val="24"/>
          <w:lang w:eastAsia="zh-CN"/>
        </w:rPr>
        <w:t>（</w:t>
      </w:r>
      <w:r>
        <w:rPr>
          <w:rFonts w:hint="eastAsia" w:ascii="仿宋" w:hAnsi="仿宋" w:eastAsia="仿宋" w:cs="Times New Roman"/>
          <w:kern w:val="2"/>
          <w:sz w:val="32"/>
          <w:szCs w:val="24"/>
          <w:lang w:val="en-US" w:eastAsia="zh-CN"/>
        </w:rPr>
        <w:t>三</w:t>
      </w:r>
      <w:r>
        <w:rPr>
          <w:rFonts w:hint="eastAsia" w:ascii="仿宋" w:hAnsi="仿宋" w:eastAsia="仿宋" w:cs="Times New Roman"/>
          <w:kern w:val="2"/>
          <w:sz w:val="32"/>
          <w:szCs w:val="24"/>
          <w:lang w:eastAsia="zh-CN"/>
        </w:rPr>
        <w:t>）</w:t>
      </w:r>
      <w:r>
        <w:rPr>
          <w:rFonts w:hint="eastAsia" w:ascii="仿宋" w:hAnsi="仿宋" w:eastAsia="仿宋" w:cs="Times New Roman"/>
          <w:kern w:val="2"/>
          <w:sz w:val="32"/>
          <w:szCs w:val="24"/>
        </w:rPr>
        <w:t>完成市交通运输局交办的</w:t>
      </w:r>
      <w:r>
        <w:rPr>
          <w:rFonts w:hint="eastAsia" w:ascii="仿宋" w:hAnsi="仿宋" w:eastAsia="仿宋" w:cs="Times New Roman"/>
          <w:kern w:val="2"/>
          <w:sz w:val="32"/>
          <w:szCs w:val="24"/>
          <w:lang w:val="en-US" w:eastAsia="zh-CN"/>
        </w:rPr>
        <w:t>其他任务。</w:t>
      </w:r>
    </w:p>
    <w:p w14:paraId="54640A70">
      <w:pPr>
        <w:widowControl/>
        <w:spacing w:line="600" w:lineRule="exact"/>
        <w:rPr>
          <w:rFonts w:hint="eastAsia" w:ascii="黑体" w:hAnsi="黑体" w:eastAsia="黑体" w:cs="黑体"/>
          <w:b w:val="0"/>
          <w:bCs/>
          <w:kern w:val="0"/>
          <w:sz w:val="32"/>
          <w:szCs w:val="32"/>
        </w:rPr>
      </w:pPr>
      <w:r>
        <w:rPr>
          <w:rFonts w:hint="eastAsia" w:ascii="黑体" w:hAnsi="黑体" w:eastAsia="黑体" w:cs="黑体"/>
          <w:b w:val="0"/>
          <w:bCs/>
          <w:kern w:val="0"/>
          <w:sz w:val="32"/>
          <w:szCs w:val="32"/>
        </w:rPr>
        <w:t>二、机构设置及决算单位构成</w:t>
      </w:r>
    </w:p>
    <w:p w14:paraId="5B2EEC5A">
      <w:pPr>
        <w:widowControl/>
        <w:spacing w:line="600" w:lineRule="exact"/>
        <w:ind w:firstLine="640" w:firstLineChars="200"/>
        <w:rPr>
          <w:rFonts w:hint="eastAsia"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（一）内设机构设置。</w:t>
      </w:r>
      <w:r>
        <w:rPr>
          <w:rFonts w:hint="eastAsia" w:ascii="Times New Roman" w:hAnsi="Times New Roman" w:eastAsia="仿宋_GB2312" w:cs="仿宋_GB2312"/>
          <w:bCs/>
          <w:kern w:val="0"/>
          <w:sz w:val="32"/>
          <w:szCs w:val="32"/>
          <w:lang w:val="en-US" w:eastAsia="zh-CN"/>
        </w:rPr>
        <w:t>岳阳市公路建设和养护中心</w:t>
      </w:r>
      <w:r>
        <w:rPr>
          <w:rFonts w:hint="eastAsia" w:ascii="Times New Roman" w:hAnsi="Times New Roman" w:eastAsia="仿宋_GB2312" w:cs="仿宋_GB2312"/>
          <w:bCs/>
          <w:kern w:val="0"/>
          <w:sz w:val="32"/>
          <w:szCs w:val="32"/>
        </w:rPr>
        <w:t>单位内设机构包括：</w:t>
      </w:r>
      <w:r>
        <w:rPr>
          <w:rFonts w:hint="eastAsia" w:ascii="仿宋" w:hAnsi="仿宋" w:eastAsia="仿宋" w:cs="Times New Roman"/>
          <w:sz w:val="32"/>
          <w:szCs w:val="24"/>
          <w:lang w:val="en-US" w:eastAsia="zh-CN"/>
        </w:rPr>
        <w:t>综合部，公路养护部，工程建设部，计划统计部，农村公路部，安全事务部，路产路权事务部，国有资产管理部，财务部，法规（信访）事务部，审计事务部，人事部等十二个部门。</w:t>
      </w:r>
    </w:p>
    <w:p w14:paraId="38F8B787">
      <w:pPr>
        <w:widowControl/>
        <w:spacing w:line="600" w:lineRule="exact"/>
        <w:ind w:firstLine="640" w:firstLineChars="200"/>
        <w:rPr>
          <w:rFonts w:ascii="仿宋_GB2312" w:eastAsia="仿宋_GB2312" w:hAnsiTheme="minorEastAsia"/>
          <w:sz w:val="28"/>
          <w:szCs w:val="32"/>
        </w:rPr>
      </w:pPr>
      <w:r>
        <w:rPr>
          <w:rFonts w:hint="eastAsia" w:ascii="Times New Roman" w:hAnsi="Times New Roman" w:eastAsia="仿宋_GB2312" w:cs="仿宋_GB2312"/>
          <w:bCs/>
          <w:kern w:val="0"/>
          <w:sz w:val="32"/>
          <w:szCs w:val="32"/>
        </w:rPr>
        <w:t>（二）决算单位构成。</w:t>
      </w:r>
      <w:r>
        <w:rPr>
          <w:rFonts w:hint="eastAsia" w:ascii="Times New Roman" w:hAnsi="Times New Roman" w:eastAsia="仿宋_GB2312" w:cs="仿宋_GB2312"/>
          <w:bCs/>
          <w:kern w:val="0"/>
          <w:sz w:val="32"/>
          <w:szCs w:val="32"/>
          <w:lang w:val="en-US" w:eastAsia="zh-CN"/>
        </w:rPr>
        <w:t>岳阳市公路建设和养护中心</w:t>
      </w:r>
      <w:r>
        <w:rPr>
          <w:rFonts w:hint="eastAsia" w:ascii="Times New Roman" w:hAnsi="Times New Roman" w:eastAsia="仿宋_GB2312" w:cs="仿宋_GB2312"/>
          <w:bCs/>
          <w:kern w:val="0"/>
          <w:sz w:val="32"/>
          <w:szCs w:val="32"/>
        </w:rPr>
        <w:t>单位202</w:t>
      </w:r>
      <w:r>
        <w:rPr>
          <w:rFonts w:hint="eastAsia" w:ascii="Times New Roman" w:hAnsi="Times New Roman" w:eastAsia="仿宋_GB2312" w:cs="仿宋_GB2312"/>
          <w:bCs/>
          <w:kern w:val="0"/>
          <w:sz w:val="32"/>
          <w:szCs w:val="32"/>
          <w:lang w:val="en-US" w:eastAsia="zh-CN"/>
        </w:rPr>
        <w:t>3</w:t>
      </w:r>
      <w:r>
        <w:rPr>
          <w:rFonts w:hint="eastAsia" w:ascii="Times New Roman" w:hAnsi="Times New Roman" w:eastAsia="仿宋_GB2312" w:cs="仿宋_GB2312"/>
          <w:bCs/>
          <w:kern w:val="0"/>
          <w:sz w:val="32"/>
          <w:szCs w:val="32"/>
        </w:rPr>
        <w:t>年部门决算汇总公开单位构成包括：</w:t>
      </w:r>
      <w:r>
        <w:rPr>
          <w:rFonts w:hint="eastAsia" w:ascii="Times New Roman" w:hAnsi="Times New Roman" w:eastAsia="仿宋_GB2312" w:cs="仿宋_GB2312"/>
          <w:bCs/>
          <w:kern w:val="0"/>
          <w:sz w:val="32"/>
          <w:szCs w:val="32"/>
          <w:lang w:val="en-US" w:eastAsia="zh-CN"/>
        </w:rPr>
        <w:t>岳阳市公路建设和养护中心</w:t>
      </w:r>
      <w:r>
        <w:rPr>
          <w:rFonts w:hint="eastAsia" w:ascii="Times New Roman" w:hAnsi="Times New Roman" w:eastAsia="仿宋_GB2312" w:cs="仿宋_GB2312"/>
          <w:bCs/>
          <w:kern w:val="0"/>
          <w:sz w:val="32"/>
          <w:szCs w:val="32"/>
        </w:rPr>
        <w:t>单位本级及</w:t>
      </w:r>
      <w:r>
        <w:rPr>
          <w:rFonts w:hint="eastAsia" w:ascii="Times New Roman" w:hAnsi="Times New Roman" w:eastAsia="仿宋_GB2312" w:cs="仿宋_GB2312"/>
          <w:bCs/>
          <w:kern w:val="0"/>
          <w:sz w:val="32"/>
          <w:szCs w:val="32"/>
          <w:lang w:val="en-US" w:eastAsia="zh-CN"/>
        </w:rPr>
        <w:t>下属三家正科级公益一类事业单位：岳阳市公路科技服务中心，岳阳市107国道养护中心，岳阳市城区公路事务中心；两家副科级公益一类事业单位：岳阳市公路建设和养护中心退休人员管理服务中心，岳阳市北门战备渡口管理所。</w:t>
      </w:r>
    </w:p>
    <w:p w14:paraId="42891492"/>
    <w:p w14:paraId="02C50536">
      <w:pPr>
        <w:pStyle w:val="2"/>
      </w:pPr>
    </w:p>
    <w:p w14:paraId="168284B6">
      <w:pPr>
        <w:pStyle w:val="3"/>
      </w:pPr>
    </w:p>
    <w:p w14:paraId="43ABC859"/>
    <w:p w14:paraId="63DAFB9D">
      <w:pPr>
        <w:pStyle w:val="2"/>
      </w:pPr>
    </w:p>
    <w:p w14:paraId="50683DE4">
      <w:pPr>
        <w:pStyle w:val="3"/>
      </w:pPr>
    </w:p>
    <w:p w14:paraId="06FEA7CC"/>
    <w:p w14:paraId="16828DDD">
      <w:pPr>
        <w:pStyle w:val="2"/>
      </w:pPr>
    </w:p>
    <w:p w14:paraId="555D1B32">
      <w:pPr>
        <w:pStyle w:val="3"/>
      </w:pPr>
    </w:p>
    <w:p w14:paraId="5D70146D"/>
    <w:p w14:paraId="2C7FC5D3">
      <w:pPr>
        <w:pStyle w:val="2"/>
      </w:pPr>
    </w:p>
    <w:p w14:paraId="2DBF5EDF">
      <w:pPr>
        <w:pStyle w:val="3"/>
      </w:pPr>
    </w:p>
    <w:p w14:paraId="566059B2"/>
    <w:p w14:paraId="4A33C35B">
      <w:pPr>
        <w:pStyle w:val="2"/>
      </w:pPr>
    </w:p>
    <w:p w14:paraId="52ECCB37">
      <w:pPr>
        <w:pStyle w:val="3"/>
      </w:pPr>
    </w:p>
    <w:p w14:paraId="67257AE0"/>
    <w:p w14:paraId="3BAE59F2">
      <w:pPr>
        <w:pStyle w:val="2"/>
      </w:pPr>
    </w:p>
    <w:p w14:paraId="4BEE992A">
      <w:pPr>
        <w:pStyle w:val="3"/>
      </w:pPr>
    </w:p>
    <w:p w14:paraId="3ED46113"/>
    <w:p w14:paraId="5BE3C961">
      <w:pPr>
        <w:pStyle w:val="2"/>
      </w:pPr>
    </w:p>
    <w:p w14:paraId="556A02FA">
      <w:pPr>
        <w:pStyle w:val="3"/>
      </w:pPr>
    </w:p>
    <w:p w14:paraId="3D6C5D60"/>
    <w:p w14:paraId="22306BED">
      <w:pPr>
        <w:pStyle w:val="2"/>
      </w:pPr>
    </w:p>
    <w:p w14:paraId="29E671B8">
      <w:pPr>
        <w:pStyle w:val="3"/>
      </w:pPr>
    </w:p>
    <w:p w14:paraId="2E62CCEC"/>
    <w:p w14:paraId="6226D2DE">
      <w:pPr>
        <w:pStyle w:val="13"/>
        <w:jc w:val="center"/>
        <w:rPr>
          <w:rFonts w:hint="eastAsia" w:ascii="方正小标宋_GBK" w:hAnsi="方正小标宋_GBK" w:eastAsia="方正小标宋_GBK" w:cs="方正小标宋_GBK"/>
          <w:sz w:val="84"/>
          <w:szCs w:val="84"/>
        </w:rPr>
      </w:pPr>
    </w:p>
    <w:p w14:paraId="6E783D80">
      <w:pPr>
        <w:pStyle w:val="13"/>
        <w:jc w:val="center"/>
        <w:rPr>
          <w:rFonts w:hint="eastAsia" w:ascii="方正小标宋_GBK" w:hAnsi="方正小标宋_GBK" w:eastAsia="方正小标宋_GBK" w:cs="方正小标宋_GBK"/>
          <w:sz w:val="84"/>
          <w:szCs w:val="84"/>
        </w:rPr>
      </w:pPr>
    </w:p>
    <w:p w14:paraId="181E80D9">
      <w:pPr>
        <w:pStyle w:val="13"/>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第二部分</w:t>
      </w:r>
    </w:p>
    <w:p w14:paraId="521944FF">
      <w:pPr>
        <w:pStyle w:val="13"/>
        <w:jc w:val="center"/>
        <w:rPr>
          <w:rFonts w:hint="eastAsia" w:ascii="方正小标宋_GBK" w:hAnsi="方正小标宋_GBK" w:eastAsia="方正小标宋_GBK" w:cs="方正小标宋_GBK"/>
          <w:sz w:val="84"/>
          <w:szCs w:val="84"/>
        </w:rPr>
      </w:pPr>
    </w:p>
    <w:p w14:paraId="2D9D65F2">
      <w:pPr>
        <w:pStyle w:val="13"/>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部门决算表</w:t>
      </w:r>
    </w:p>
    <w:p w14:paraId="4753149C">
      <w:pPr>
        <w:pStyle w:val="13"/>
        <w:jc w:val="center"/>
        <w:rPr>
          <w:rFonts w:hint="eastAsia" w:ascii="仿宋_GB2312" w:hAnsi="仿宋_GB2312" w:eastAsia="仿宋_GB2312" w:cs="仿宋_GB2312"/>
          <w:b w:val="0"/>
          <w:bCs w:val="0"/>
          <w:sz w:val="72"/>
          <w:szCs w:val="72"/>
          <w:lang w:eastAsia="zh-CN"/>
        </w:rPr>
      </w:pPr>
      <w:r>
        <w:rPr>
          <w:rFonts w:hint="eastAsia" w:ascii="仿宋_GB2312" w:hAnsi="仿宋_GB2312" w:eastAsia="仿宋_GB2312" w:cs="仿宋_GB2312"/>
          <w:b w:val="0"/>
          <w:bCs w:val="0"/>
          <w:sz w:val="72"/>
          <w:szCs w:val="72"/>
          <w:lang w:eastAsia="zh-CN"/>
        </w:rPr>
        <w:t>（见附件）</w:t>
      </w:r>
    </w:p>
    <w:p w14:paraId="411A2A5B">
      <w:pPr>
        <w:pStyle w:val="13"/>
        <w:jc w:val="center"/>
        <w:rPr>
          <w:rFonts w:hint="eastAsia" w:ascii="仿宋_GB2312" w:hAnsi="仿宋_GB2312" w:eastAsia="仿宋_GB2312" w:cs="仿宋_GB2312"/>
          <w:b w:val="0"/>
          <w:bCs w:val="0"/>
          <w:sz w:val="72"/>
          <w:szCs w:val="72"/>
          <w:lang w:eastAsia="zh-CN"/>
        </w:rPr>
      </w:pPr>
    </w:p>
    <w:p w14:paraId="27F4EB90">
      <w:pPr>
        <w:pStyle w:val="13"/>
        <w:jc w:val="center"/>
        <w:rPr>
          <w:rFonts w:hint="eastAsia" w:ascii="仿宋_GB2312" w:hAnsi="仿宋_GB2312" w:eastAsia="仿宋_GB2312" w:cs="仿宋_GB2312"/>
          <w:b w:val="0"/>
          <w:bCs w:val="0"/>
          <w:sz w:val="72"/>
          <w:szCs w:val="72"/>
          <w:lang w:eastAsia="zh-CN"/>
        </w:rPr>
      </w:pPr>
    </w:p>
    <w:p w14:paraId="5D4444F3">
      <w:pPr>
        <w:pStyle w:val="13"/>
        <w:jc w:val="center"/>
        <w:rPr>
          <w:rFonts w:hint="eastAsia" w:ascii="仿宋_GB2312" w:hAnsi="仿宋_GB2312" w:eastAsia="仿宋_GB2312" w:cs="仿宋_GB2312"/>
          <w:b w:val="0"/>
          <w:bCs w:val="0"/>
          <w:sz w:val="72"/>
          <w:szCs w:val="72"/>
          <w:lang w:eastAsia="zh-CN"/>
        </w:rPr>
      </w:pPr>
    </w:p>
    <w:p w14:paraId="793D2195">
      <w:pPr>
        <w:pStyle w:val="13"/>
        <w:jc w:val="center"/>
        <w:rPr>
          <w:rFonts w:hint="eastAsia" w:ascii="仿宋_GB2312" w:hAnsi="仿宋_GB2312" w:eastAsia="仿宋_GB2312" w:cs="仿宋_GB2312"/>
          <w:b w:val="0"/>
          <w:bCs w:val="0"/>
          <w:sz w:val="72"/>
          <w:szCs w:val="72"/>
          <w:lang w:eastAsia="zh-CN"/>
        </w:rPr>
      </w:pPr>
    </w:p>
    <w:p w14:paraId="2B69E445">
      <w:pPr>
        <w:pStyle w:val="13"/>
        <w:jc w:val="center"/>
        <w:rPr>
          <w:rFonts w:hint="eastAsia" w:ascii="仿宋_GB2312" w:hAnsi="仿宋_GB2312" w:eastAsia="仿宋_GB2312" w:cs="仿宋_GB2312"/>
          <w:b w:val="0"/>
          <w:bCs w:val="0"/>
          <w:sz w:val="72"/>
          <w:szCs w:val="72"/>
          <w:lang w:eastAsia="zh-CN"/>
        </w:rPr>
      </w:pPr>
    </w:p>
    <w:p w14:paraId="13F16B7B">
      <w:pPr>
        <w:pStyle w:val="13"/>
        <w:jc w:val="center"/>
        <w:rPr>
          <w:rFonts w:hint="eastAsia" w:ascii="仿宋_GB2312" w:hAnsi="仿宋_GB2312" w:eastAsia="仿宋_GB2312" w:cs="仿宋_GB2312"/>
          <w:b w:val="0"/>
          <w:bCs w:val="0"/>
          <w:sz w:val="72"/>
          <w:szCs w:val="72"/>
          <w:lang w:eastAsia="zh-CN"/>
        </w:rPr>
      </w:pPr>
    </w:p>
    <w:p w14:paraId="5978516A">
      <w:pPr>
        <w:pStyle w:val="13"/>
        <w:jc w:val="center"/>
        <w:rPr>
          <w:rFonts w:hint="eastAsia" w:ascii="仿宋_GB2312" w:hAnsi="仿宋_GB2312" w:eastAsia="仿宋_GB2312" w:cs="仿宋_GB2312"/>
          <w:b w:val="0"/>
          <w:bCs w:val="0"/>
          <w:sz w:val="72"/>
          <w:szCs w:val="72"/>
          <w:lang w:eastAsia="zh-CN"/>
        </w:rPr>
      </w:pPr>
    </w:p>
    <w:p w14:paraId="5A4FDA98">
      <w:pPr>
        <w:pStyle w:val="13"/>
        <w:jc w:val="center"/>
        <w:rPr>
          <w:rFonts w:hint="eastAsia" w:ascii="方正小标宋_GBK" w:hAnsi="方正小标宋_GBK" w:eastAsia="方正小标宋_GBK" w:cs="方正小标宋_GBK"/>
          <w:sz w:val="72"/>
          <w:szCs w:val="72"/>
        </w:rPr>
      </w:pPr>
    </w:p>
    <w:p w14:paraId="06426BFE">
      <w:pPr>
        <w:pStyle w:val="13"/>
        <w:jc w:val="center"/>
        <w:rPr>
          <w:rFonts w:hint="eastAsia" w:ascii="方正小标宋_GBK" w:hAnsi="方正小标宋_GBK" w:eastAsia="方正小标宋_GBK" w:cs="方正小标宋_GBK"/>
          <w:sz w:val="72"/>
          <w:szCs w:val="72"/>
        </w:rPr>
      </w:pPr>
    </w:p>
    <w:p w14:paraId="5B28D315">
      <w:pPr>
        <w:pStyle w:val="13"/>
        <w:jc w:val="both"/>
        <w:rPr>
          <w:rFonts w:hint="eastAsia" w:ascii="方正小标宋_GBK" w:hAnsi="方正小标宋_GBK" w:eastAsia="方正小标宋_GBK" w:cs="方正小标宋_GBK"/>
          <w:sz w:val="72"/>
          <w:szCs w:val="72"/>
        </w:rPr>
      </w:pPr>
    </w:p>
    <w:p w14:paraId="25181C85">
      <w:pPr>
        <w:pStyle w:val="13"/>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第三部分</w:t>
      </w:r>
    </w:p>
    <w:p w14:paraId="23B0B21D">
      <w:pPr>
        <w:pStyle w:val="13"/>
        <w:jc w:val="center"/>
        <w:rPr>
          <w:rFonts w:hint="eastAsia" w:ascii="方正小标宋_GBK" w:hAnsi="方正小标宋_GBK" w:eastAsia="方正小标宋_GBK" w:cs="方正小标宋_GBK"/>
          <w:sz w:val="70"/>
          <w:szCs w:val="70"/>
        </w:rPr>
      </w:pPr>
    </w:p>
    <w:p w14:paraId="23F89917">
      <w:pPr>
        <w:pStyle w:val="13"/>
        <w:jc w:val="center"/>
        <w:rPr>
          <w:rFonts w:hint="eastAsia" w:ascii="方正小标宋_GBK" w:hAnsi="方正小标宋_GBK" w:eastAsia="方正小标宋_GBK" w:cs="方正小标宋_GBK"/>
          <w:sz w:val="70"/>
          <w:szCs w:val="70"/>
        </w:rPr>
      </w:pPr>
      <w:r>
        <w:rPr>
          <w:rFonts w:hint="eastAsia" w:ascii="方正小标宋_GBK" w:hAnsi="方正小标宋_GBK" w:eastAsia="方正小标宋_GBK" w:cs="方正小标宋_GBK"/>
          <w:sz w:val="70"/>
          <w:szCs w:val="70"/>
          <w:lang w:eastAsia="zh-CN"/>
        </w:rPr>
        <w:t>2025年</w:t>
      </w:r>
      <w:r>
        <w:rPr>
          <w:rFonts w:hint="eastAsia" w:ascii="方正小标宋_GBK" w:hAnsi="方正小标宋_GBK" w:eastAsia="方正小标宋_GBK" w:cs="方正小标宋_GBK"/>
          <w:sz w:val="70"/>
          <w:szCs w:val="70"/>
        </w:rPr>
        <w:t>度部门决算情况说明</w:t>
      </w:r>
    </w:p>
    <w:p w14:paraId="76652804">
      <w:pPr>
        <w:pStyle w:val="13"/>
        <w:jc w:val="center"/>
        <w:rPr>
          <w:rFonts w:hint="eastAsia" w:ascii="方正小标宋_GBK" w:hAnsi="方正小标宋_GBK" w:eastAsia="方正小标宋_GBK" w:cs="方正小标宋_GBK"/>
          <w:sz w:val="70"/>
          <w:szCs w:val="70"/>
        </w:rPr>
      </w:pPr>
    </w:p>
    <w:p w14:paraId="766CF23D">
      <w:pPr>
        <w:pStyle w:val="13"/>
        <w:jc w:val="center"/>
        <w:rPr>
          <w:rFonts w:hint="eastAsia" w:ascii="方正小标宋_GBK" w:hAnsi="方正小标宋_GBK" w:eastAsia="方正小标宋_GBK" w:cs="方正小标宋_GBK"/>
          <w:sz w:val="70"/>
          <w:szCs w:val="70"/>
        </w:rPr>
      </w:pPr>
    </w:p>
    <w:p w14:paraId="4DB9F26A">
      <w:pPr>
        <w:pStyle w:val="13"/>
        <w:jc w:val="center"/>
        <w:rPr>
          <w:rFonts w:hint="eastAsia" w:ascii="方正小标宋_GBK" w:hAnsi="方正小标宋_GBK" w:eastAsia="方正小标宋_GBK" w:cs="方正小标宋_GBK"/>
          <w:sz w:val="70"/>
          <w:szCs w:val="70"/>
        </w:rPr>
      </w:pPr>
    </w:p>
    <w:p w14:paraId="7E2E9DCC">
      <w:pPr>
        <w:pStyle w:val="13"/>
        <w:jc w:val="center"/>
        <w:rPr>
          <w:rFonts w:hint="eastAsia" w:ascii="方正小标宋_GBK" w:hAnsi="方正小标宋_GBK" w:eastAsia="方正小标宋_GBK" w:cs="方正小标宋_GBK"/>
          <w:sz w:val="70"/>
          <w:szCs w:val="70"/>
        </w:rPr>
      </w:pPr>
    </w:p>
    <w:p w14:paraId="33E3D969">
      <w:pPr>
        <w:pStyle w:val="13"/>
        <w:jc w:val="center"/>
        <w:rPr>
          <w:rFonts w:hint="eastAsia" w:ascii="方正小标宋_GBK" w:hAnsi="方正小标宋_GBK" w:eastAsia="方正小标宋_GBK" w:cs="方正小标宋_GBK"/>
          <w:sz w:val="70"/>
          <w:szCs w:val="70"/>
        </w:rPr>
      </w:pPr>
    </w:p>
    <w:p w14:paraId="4D05B1CD">
      <w:pPr>
        <w:pStyle w:val="13"/>
        <w:jc w:val="center"/>
        <w:rPr>
          <w:rFonts w:hint="eastAsia" w:ascii="方正小标宋_GBK" w:hAnsi="方正小标宋_GBK" w:eastAsia="方正小标宋_GBK" w:cs="方正小标宋_GBK"/>
          <w:sz w:val="70"/>
          <w:szCs w:val="70"/>
        </w:rPr>
      </w:pPr>
    </w:p>
    <w:p w14:paraId="55D0A21D">
      <w:pPr>
        <w:widowControl/>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说明：</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由于</w:t>
      </w:r>
      <w:r>
        <w:rPr>
          <w:rFonts w:hint="eastAsia" w:ascii="仿宋_GB2312" w:hAnsi="仿宋_GB2312" w:eastAsia="仿宋_GB2312" w:cs="仿宋_GB2312"/>
          <w:sz w:val="32"/>
          <w:szCs w:val="32"/>
          <w:lang w:eastAsia="zh-CN"/>
        </w:rPr>
        <w:t>部门</w:t>
      </w:r>
      <w:r>
        <w:rPr>
          <w:rFonts w:hint="eastAsia" w:ascii="仿宋_GB2312" w:hAnsi="仿宋_GB2312" w:eastAsia="仿宋_GB2312" w:cs="仿宋_GB2312"/>
          <w:sz w:val="32"/>
          <w:szCs w:val="32"/>
        </w:rPr>
        <w:t>决算编制时</w:t>
      </w:r>
      <w:r>
        <w:rPr>
          <w:rFonts w:hint="eastAsia" w:ascii="仿宋_GB2312" w:hAnsi="仿宋_GB2312" w:eastAsia="仿宋_GB2312" w:cs="仿宋_GB2312"/>
          <w:sz w:val="32"/>
          <w:szCs w:val="32"/>
          <w:lang w:eastAsia="zh-CN"/>
        </w:rPr>
        <w:t>数据</w:t>
      </w:r>
      <w:r>
        <w:rPr>
          <w:rFonts w:hint="eastAsia" w:ascii="仿宋_GB2312" w:hAnsi="仿宋_GB2312" w:eastAsia="仿宋_GB2312" w:cs="仿宋_GB2312"/>
          <w:sz w:val="32"/>
          <w:szCs w:val="32"/>
        </w:rPr>
        <w:t>明细</w:t>
      </w:r>
      <w:r>
        <w:rPr>
          <w:rFonts w:hint="eastAsia" w:ascii="仿宋_GB2312" w:hAnsi="仿宋_GB2312" w:eastAsia="仿宋_GB2312" w:cs="仿宋_GB2312"/>
          <w:sz w:val="32"/>
          <w:szCs w:val="32"/>
          <w:lang w:eastAsia="zh-CN"/>
        </w:rPr>
        <w:t>至“金额单位：元</w:t>
      </w:r>
      <w:r>
        <w:rPr>
          <w:rFonts w:hint="eastAsia" w:ascii="仿宋_GB2312" w:hAnsi="仿宋_GB2312" w:eastAsia="仿宋_GB2312" w:cs="仿宋_GB2312"/>
          <w:sz w:val="32"/>
          <w:szCs w:val="32"/>
        </w:rPr>
        <w:t>”，而</w:t>
      </w:r>
      <w:r>
        <w:rPr>
          <w:rFonts w:hint="eastAsia" w:ascii="仿宋_GB2312" w:hAnsi="仿宋_GB2312" w:eastAsia="仿宋_GB2312" w:cs="仿宋_GB2312"/>
          <w:sz w:val="32"/>
          <w:szCs w:val="32"/>
          <w:lang w:eastAsia="zh-CN"/>
        </w:rPr>
        <w:t>本套部门决算文字说明</w:t>
      </w:r>
      <w:r>
        <w:rPr>
          <w:rFonts w:hint="eastAsia" w:ascii="仿宋_GB2312" w:hAnsi="仿宋_GB2312" w:eastAsia="仿宋_GB2312" w:cs="仿宋_GB2312"/>
          <w:sz w:val="32"/>
          <w:szCs w:val="32"/>
        </w:rPr>
        <w:t>和公开表格</w:t>
      </w:r>
      <w:r>
        <w:rPr>
          <w:rFonts w:hint="eastAsia" w:ascii="仿宋_GB2312" w:hAnsi="仿宋_GB2312" w:eastAsia="仿宋_GB2312" w:cs="仿宋_GB2312"/>
          <w:sz w:val="32"/>
          <w:szCs w:val="32"/>
          <w:lang w:eastAsia="zh-CN"/>
        </w:rPr>
        <w:t>数据</w:t>
      </w:r>
      <w:r>
        <w:rPr>
          <w:rFonts w:hint="eastAsia" w:ascii="仿宋_GB2312" w:hAnsi="仿宋_GB2312" w:eastAsia="仿宋_GB2312" w:cs="仿宋_GB2312"/>
          <w:sz w:val="32"/>
          <w:szCs w:val="32"/>
        </w:rPr>
        <w:t>取数</w:t>
      </w:r>
      <w:r>
        <w:rPr>
          <w:rFonts w:hint="eastAsia" w:ascii="仿宋_GB2312" w:hAnsi="仿宋_GB2312" w:eastAsia="仿宋_GB2312" w:cs="仿宋_GB2312"/>
          <w:sz w:val="32"/>
          <w:szCs w:val="32"/>
          <w:lang w:eastAsia="zh-CN"/>
        </w:rPr>
        <w:t>转换为</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金额单位：</w:t>
      </w:r>
      <w:r>
        <w:rPr>
          <w:rFonts w:hint="eastAsia" w:ascii="仿宋_GB2312" w:hAnsi="仿宋_GB2312" w:eastAsia="仿宋_GB2312" w:cs="仿宋_GB2312"/>
          <w:sz w:val="32"/>
          <w:szCs w:val="32"/>
        </w:rPr>
        <w:t>万元”，可能导致</w:t>
      </w:r>
      <w:r>
        <w:rPr>
          <w:rFonts w:hint="eastAsia" w:ascii="仿宋_GB2312" w:hAnsi="仿宋_GB2312" w:eastAsia="仿宋_GB2312" w:cs="仿宋_GB2312"/>
          <w:sz w:val="32"/>
          <w:szCs w:val="32"/>
          <w:lang w:eastAsia="zh-CN"/>
        </w:rPr>
        <w:t>以下文字说明中的各项数据取数以及公开</w:t>
      </w:r>
      <w:r>
        <w:rPr>
          <w:rFonts w:hint="eastAsia" w:ascii="仿宋_GB2312" w:hAnsi="仿宋_GB2312" w:eastAsia="仿宋_GB2312" w:cs="仿宋_GB2312"/>
          <w:sz w:val="32"/>
          <w:szCs w:val="32"/>
        </w:rPr>
        <w:t>表格</w:t>
      </w:r>
      <w:r>
        <w:rPr>
          <w:rFonts w:hint="eastAsia" w:ascii="仿宋_GB2312" w:hAnsi="仿宋_GB2312" w:eastAsia="仿宋_GB2312" w:cs="仿宋_GB2312"/>
          <w:sz w:val="32"/>
          <w:szCs w:val="32"/>
          <w:lang w:eastAsia="zh-CN"/>
        </w:rPr>
        <w:t>中的各项数据取数之间存在</w:t>
      </w:r>
      <w:r>
        <w:rPr>
          <w:rFonts w:hint="eastAsia" w:ascii="仿宋_GB2312" w:hAnsi="仿宋_GB2312" w:eastAsia="仿宋_GB2312" w:cs="仿宋_GB2312"/>
          <w:sz w:val="32"/>
          <w:szCs w:val="32"/>
        </w:rPr>
        <w:t>0.01的尾数差异。</w:t>
      </w:r>
      <w:r>
        <w:rPr>
          <w:rFonts w:hint="eastAsia" w:ascii="仿宋_GB2312" w:hAnsi="仿宋_GB2312" w:eastAsia="仿宋_GB2312" w:cs="仿宋_GB2312"/>
          <w:sz w:val="32"/>
          <w:szCs w:val="32"/>
          <w:lang w:val="en-US" w:eastAsia="zh-CN"/>
        </w:rPr>
        <w:t>2、以下文字说明中，部分科目由于预算数为0，无法计算完成年初预算的百分比，故未描述“</w:t>
      </w:r>
      <w:r>
        <w:rPr>
          <w:rFonts w:hint="eastAsia" w:ascii="仿宋_GB2312" w:hAnsi="仿宋_GB2312" w:eastAsia="仿宋_GB2312" w:cs="仿宋_GB2312"/>
          <w:sz w:val="32"/>
          <w:szCs w:val="32"/>
        </w:rPr>
        <w:t>完成年初预算的XX%</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w:t>
      </w:r>
    </w:p>
    <w:p w14:paraId="23D072B6">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一、收入支出决算总体情况说明</w:t>
      </w:r>
    </w:p>
    <w:p w14:paraId="7FD156D7">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rPr>
        <w:t>度收、支总计30809.07万元。与上年相比，增加</w:t>
      </w:r>
      <w:r>
        <w:rPr>
          <w:rFonts w:hint="eastAsia" w:ascii="仿宋_GB2312" w:hAnsi="仿宋_GB2312" w:eastAsia="仿宋_GB2312" w:cs="仿宋_GB2312"/>
          <w:sz w:val="32"/>
          <w:szCs w:val="32"/>
          <w:lang w:val="en-US" w:eastAsia="zh-CN"/>
        </w:rPr>
        <w:t>834</w:t>
      </w:r>
      <w:r>
        <w:rPr>
          <w:rFonts w:hint="eastAsia" w:ascii="仿宋_GB2312" w:hAnsi="仿宋_GB2312" w:eastAsia="仿宋_GB2312" w:cs="仿宋_GB2312"/>
          <w:sz w:val="32"/>
          <w:szCs w:val="32"/>
        </w:rPr>
        <w:t>万元，增长</w:t>
      </w:r>
      <w:r>
        <w:rPr>
          <w:rFonts w:hint="eastAsia" w:ascii="仿宋_GB2312" w:hAnsi="仿宋_GB2312" w:eastAsia="仿宋_GB2312" w:cs="仿宋_GB2312"/>
          <w:sz w:val="32"/>
          <w:szCs w:val="32"/>
          <w:lang w:val="en-US" w:eastAsia="zh-CN"/>
        </w:rPr>
        <w:t>2.78</w:t>
      </w:r>
      <w:r>
        <w:rPr>
          <w:rFonts w:hint="eastAsia" w:ascii="仿宋_GB2312" w:hAnsi="仿宋_GB2312" w:eastAsia="仿宋_GB2312" w:cs="仿宋_GB2312"/>
          <w:sz w:val="32"/>
          <w:szCs w:val="32"/>
        </w:rPr>
        <w:t>%，主要是因为</w:t>
      </w:r>
      <w:r>
        <w:rPr>
          <w:rFonts w:hint="eastAsia" w:ascii="仿宋_GB2312" w:hAnsi="仿宋_GB2312" w:eastAsia="仿宋_GB2312" w:cs="仿宋_GB2312"/>
          <w:sz w:val="32"/>
          <w:szCs w:val="32"/>
          <w:lang w:val="en-US" w:eastAsia="zh-CN"/>
        </w:rPr>
        <w:t>辖区国省干线公路按照养护年限、路况衰减规律及年度养护工作计划，常态化开展周期性养护、病害处置及路面预防性养护工作。本年度根据道路服役年限，有序安排老旧路段专项养护、设施修复及日常保养补短板任务，相应养护作业经费、材料采购及人工机械支出有所增加，致使全年收支总量较上年稳步增长。</w:t>
      </w:r>
    </w:p>
    <w:p w14:paraId="110B706E">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二、收入决算情况说明</w:t>
      </w:r>
    </w:p>
    <w:p w14:paraId="13352D8A">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rPr>
        <w:t>度收入合计30767.43万元，其中：财政拨款收入30559.32万元，占</w:t>
      </w:r>
      <w:r>
        <w:rPr>
          <w:rFonts w:hint="eastAsia" w:ascii="仿宋_GB2312" w:hAnsi="仿宋_GB2312" w:eastAsia="仿宋_GB2312" w:cs="仿宋_GB2312"/>
          <w:sz w:val="32"/>
          <w:szCs w:val="32"/>
          <w:lang w:val="en-US" w:eastAsia="zh-CN"/>
        </w:rPr>
        <w:t>99.32</w:t>
      </w:r>
      <w:r>
        <w:rPr>
          <w:rFonts w:hint="eastAsia" w:ascii="仿宋_GB2312" w:hAnsi="仿宋_GB2312" w:eastAsia="仿宋_GB2312" w:cs="仿宋_GB2312"/>
          <w:sz w:val="32"/>
          <w:szCs w:val="32"/>
        </w:rPr>
        <w:t>%；上级补助收入</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%；事业收入</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%；经营收入</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%；附属单位上缴收入</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%；其他收入208.11万元，占</w:t>
      </w:r>
      <w:r>
        <w:rPr>
          <w:rFonts w:hint="eastAsia" w:ascii="仿宋_GB2312" w:hAnsi="仿宋_GB2312" w:eastAsia="仿宋_GB2312" w:cs="仿宋_GB2312"/>
          <w:sz w:val="32"/>
          <w:szCs w:val="32"/>
          <w:lang w:val="en-US" w:eastAsia="zh-CN"/>
        </w:rPr>
        <w:t>0.68</w:t>
      </w:r>
      <w:r>
        <w:rPr>
          <w:rFonts w:hint="eastAsia" w:ascii="仿宋_GB2312" w:hAnsi="仿宋_GB2312" w:eastAsia="仿宋_GB2312" w:cs="仿宋_GB2312"/>
          <w:sz w:val="32"/>
          <w:szCs w:val="32"/>
        </w:rPr>
        <w:t>%。</w:t>
      </w:r>
    </w:p>
    <w:p w14:paraId="1C793FB4">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三、支出决算情况说明</w:t>
      </w:r>
    </w:p>
    <w:p w14:paraId="0AB723DF">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rPr>
        <w:t>度支出合计30628.73万元，其中：基本支出11011.69万元，占</w:t>
      </w:r>
      <w:r>
        <w:rPr>
          <w:rFonts w:hint="eastAsia" w:ascii="仿宋_GB2312" w:hAnsi="仿宋_GB2312" w:eastAsia="仿宋_GB2312" w:cs="仿宋_GB2312"/>
          <w:sz w:val="32"/>
          <w:szCs w:val="32"/>
          <w:lang w:val="en-US" w:eastAsia="zh-CN"/>
        </w:rPr>
        <w:t>35.95</w:t>
      </w:r>
      <w:r>
        <w:rPr>
          <w:rFonts w:hint="eastAsia" w:ascii="仿宋_GB2312" w:hAnsi="仿宋_GB2312" w:eastAsia="仿宋_GB2312" w:cs="仿宋_GB2312"/>
          <w:sz w:val="32"/>
          <w:szCs w:val="32"/>
        </w:rPr>
        <w:t>%；项目支出19617.04万元，占</w:t>
      </w:r>
      <w:r>
        <w:rPr>
          <w:rFonts w:hint="eastAsia" w:ascii="仿宋_GB2312" w:hAnsi="仿宋_GB2312" w:eastAsia="仿宋_GB2312" w:cs="仿宋_GB2312"/>
          <w:sz w:val="32"/>
          <w:szCs w:val="32"/>
          <w:lang w:val="en-US" w:eastAsia="zh-CN"/>
        </w:rPr>
        <w:t>64.05</w:t>
      </w:r>
      <w:r>
        <w:rPr>
          <w:rFonts w:hint="eastAsia" w:ascii="仿宋_GB2312" w:hAnsi="仿宋_GB2312" w:eastAsia="仿宋_GB2312" w:cs="仿宋_GB2312"/>
          <w:sz w:val="32"/>
          <w:szCs w:val="32"/>
        </w:rPr>
        <w:t>%；上缴上级支出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%；经营支出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%；对附属单位补助支出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w:t>
      </w:r>
    </w:p>
    <w:p w14:paraId="32B51885">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四、财政拨款收入支出决算总体情况说明</w:t>
      </w:r>
    </w:p>
    <w:p w14:paraId="14736D4D">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rPr>
        <w:t>度财政拨款收、支总计30559.32万元，与上年相比，增加</w:t>
      </w:r>
      <w:r>
        <w:rPr>
          <w:rFonts w:hint="eastAsia" w:ascii="仿宋_GB2312" w:hAnsi="仿宋_GB2312" w:eastAsia="仿宋_GB2312" w:cs="仿宋_GB2312"/>
          <w:sz w:val="32"/>
          <w:szCs w:val="32"/>
          <w:lang w:val="en-US" w:eastAsia="zh-CN"/>
        </w:rPr>
        <w:t>962.83</w:t>
      </w:r>
      <w:r>
        <w:rPr>
          <w:rFonts w:hint="eastAsia" w:ascii="仿宋_GB2312" w:hAnsi="仿宋_GB2312" w:eastAsia="仿宋_GB2312" w:cs="仿宋_GB2312"/>
          <w:sz w:val="32"/>
          <w:szCs w:val="32"/>
        </w:rPr>
        <w:t>万元,增长</w:t>
      </w:r>
      <w:r>
        <w:rPr>
          <w:rFonts w:hint="eastAsia" w:ascii="仿宋_GB2312" w:hAnsi="仿宋_GB2312" w:eastAsia="仿宋_GB2312" w:cs="仿宋_GB2312"/>
          <w:sz w:val="32"/>
          <w:szCs w:val="32"/>
          <w:lang w:val="en-US" w:eastAsia="zh-CN"/>
        </w:rPr>
        <w:t>3.25</w:t>
      </w:r>
      <w:r>
        <w:rPr>
          <w:rFonts w:hint="eastAsia" w:ascii="仿宋_GB2312" w:hAnsi="仿宋_GB2312" w:eastAsia="仿宋_GB2312" w:cs="仿宋_GB2312"/>
          <w:sz w:val="32"/>
          <w:szCs w:val="32"/>
        </w:rPr>
        <w:t>%，主要是因为</w:t>
      </w:r>
      <w:r>
        <w:rPr>
          <w:rFonts w:hint="eastAsia" w:ascii="仿宋_GB2312" w:hAnsi="仿宋_GB2312" w:eastAsia="仿宋_GB2312" w:cs="仿宋_GB2312"/>
          <w:sz w:val="32"/>
          <w:szCs w:val="32"/>
          <w:lang w:val="en-US" w:eastAsia="zh-CN"/>
        </w:rPr>
        <w:t>辖区国省干线公路按照养护年限、路况衰减规律及年度养护工作计划，常态化开展周期性养护、病害处置及路面预防性养护工作。本年度根据道路服役年限，有序安排老旧路段专项养护、设施修复及日常保养补短板任务，相应养护作业经费、材料采购及人工机械支出有所增加，致使全年收支总量较上年稳步增长。</w:t>
      </w:r>
    </w:p>
    <w:p w14:paraId="08F445A6">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五、一般公共预算财政拨款支出决算情况说明</w:t>
      </w:r>
    </w:p>
    <w:p w14:paraId="5F0E2EA7">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（一）一般公共预算财政拨款支出决算总体情况</w:t>
      </w:r>
    </w:p>
    <w:p w14:paraId="4C3531F0">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rPr>
        <w:t>度财政拨款支出30559.32万元，占本年支出合计的</w:t>
      </w:r>
      <w:r>
        <w:rPr>
          <w:rFonts w:hint="eastAsia" w:ascii="仿宋_GB2312" w:hAnsi="仿宋_GB2312" w:eastAsia="仿宋_GB2312" w:cs="仿宋_GB2312"/>
          <w:sz w:val="32"/>
          <w:szCs w:val="32"/>
          <w:lang w:val="en-US" w:eastAsia="zh-CN"/>
        </w:rPr>
        <w:t>99.77</w:t>
      </w:r>
      <w:r>
        <w:rPr>
          <w:rFonts w:hint="eastAsia" w:ascii="仿宋_GB2312" w:hAnsi="仿宋_GB2312" w:eastAsia="仿宋_GB2312" w:cs="仿宋_GB2312"/>
          <w:sz w:val="32"/>
          <w:szCs w:val="32"/>
        </w:rPr>
        <w:t>%，与上年相比，财政拨款支出增加</w:t>
      </w:r>
      <w:r>
        <w:rPr>
          <w:rFonts w:hint="eastAsia" w:ascii="仿宋_GB2312" w:hAnsi="仿宋_GB2312" w:eastAsia="仿宋_GB2312" w:cs="仿宋_GB2312"/>
          <w:sz w:val="32"/>
          <w:szCs w:val="32"/>
          <w:lang w:val="en-US" w:eastAsia="zh-CN"/>
        </w:rPr>
        <w:t>962.83</w:t>
      </w:r>
      <w:r>
        <w:rPr>
          <w:rFonts w:hint="eastAsia" w:ascii="仿宋_GB2312" w:hAnsi="仿宋_GB2312" w:eastAsia="仿宋_GB2312" w:cs="仿宋_GB2312"/>
          <w:sz w:val="32"/>
          <w:szCs w:val="32"/>
        </w:rPr>
        <w:t>万元，增长</w:t>
      </w:r>
      <w:r>
        <w:rPr>
          <w:rFonts w:hint="eastAsia" w:ascii="仿宋_GB2312" w:hAnsi="仿宋_GB2312" w:eastAsia="仿宋_GB2312" w:cs="仿宋_GB2312"/>
          <w:sz w:val="32"/>
          <w:szCs w:val="32"/>
          <w:lang w:val="en-US" w:eastAsia="zh-CN"/>
        </w:rPr>
        <w:t>3.25</w:t>
      </w:r>
      <w:r>
        <w:rPr>
          <w:rFonts w:hint="eastAsia" w:ascii="仿宋_GB2312" w:hAnsi="仿宋_GB2312" w:eastAsia="仿宋_GB2312" w:cs="仿宋_GB2312"/>
          <w:sz w:val="32"/>
          <w:szCs w:val="32"/>
        </w:rPr>
        <w:t>%，主要是因为</w:t>
      </w:r>
      <w:r>
        <w:rPr>
          <w:rFonts w:hint="eastAsia" w:ascii="仿宋_GB2312" w:hAnsi="仿宋_GB2312" w:eastAsia="仿宋_GB2312" w:cs="仿宋_GB2312"/>
          <w:sz w:val="32"/>
          <w:szCs w:val="32"/>
          <w:lang w:val="en-US" w:eastAsia="zh-CN"/>
        </w:rPr>
        <w:t>本年度依据辖区国省干线公路服役年限及路况实际，严格按照年度养护工作计划，常态化开展预防性养护、路面病害处置、老旧路段专项整治及公路附属设施修复等工作，养护作业、材料购置、机械人工等刚性养护经费投入相应增加，导致本年度财政拨款支出较上年稳步增长。</w:t>
      </w:r>
    </w:p>
    <w:p w14:paraId="7AC98898">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（二）一般公共预算财政拨款支出决算结构情况</w:t>
      </w:r>
    </w:p>
    <w:p w14:paraId="5838CD75">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rPr>
        <w:t>度财政拨款支出30559.32万元，主要用于以下方面：一般公共服务支出</w:t>
      </w:r>
      <w:r>
        <w:rPr>
          <w:rFonts w:hint="eastAsia" w:ascii="仿宋_GB2312" w:hAnsi="仿宋_GB2312" w:eastAsia="仿宋_GB2312" w:cs="仿宋_GB2312"/>
          <w:sz w:val="32"/>
          <w:szCs w:val="32"/>
          <w:lang w:val="en-US" w:eastAsia="zh-CN"/>
        </w:rPr>
        <w:t>15.23</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0.05</w:t>
      </w:r>
      <w:r>
        <w:rPr>
          <w:rFonts w:hint="eastAsia" w:ascii="仿宋_GB2312" w:hAnsi="仿宋_GB2312" w:eastAsia="仿宋_GB2312" w:cs="仿宋_GB2312"/>
          <w:sz w:val="32"/>
          <w:szCs w:val="32"/>
        </w:rPr>
        <w:t>%；社会保障和就业支出支出870.75万元，占</w:t>
      </w:r>
      <w:r>
        <w:rPr>
          <w:rFonts w:hint="eastAsia" w:ascii="仿宋_GB2312" w:hAnsi="仿宋_GB2312" w:eastAsia="仿宋_GB2312" w:cs="仿宋_GB2312"/>
          <w:sz w:val="32"/>
          <w:szCs w:val="32"/>
          <w:lang w:val="en-US" w:eastAsia="zh-CN"/>
        </w:rPr>
        <w:t>2.85</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交通运输支出29149.54</w:t>
      </w:r>
      <w:r>
        <w:rPr>
          <w:rFonts w:hint="eastAsia" w:ascii="仿宋_GB2312" w:hAnsi="仿宋_GB2312" w:eastAsia="仿宋_GB2312" w:cs="仿宋_GB2312"/>
          <w:sz w:val="32"/>
          <w:szCs w:val="32"/>
          <w:lang w:val="en-US" w:eastAsia="zh-CN"/>
        </w:rPr>
        <w:t>万元，占95.39%；住房保障支出523.81，占1.71%。</w:t>
      </w:r>
    </w:p>
    <w:p w14:paraId="6AF70BBC">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（三）一般公共预算财政拨款支出决算具体情况</w:t>
      </w:r>
    </w:p>
    <w:p w14:paraId="000407BF">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rPr>
        <w:t>度财政拨款支出年初预算数为</w:t>
      </w:r>
      <w:r>
        <w:rPr>
          <w:rFonts w:hint="eastAsia" w:ascii="仿宋_GB2312" w:hAnsi="仿宋_GB2312" w:eastAsia="仿宋_GB2312" w:cs="仿宋_GB2312"/>
          <w:sz w:val="32"/>
          <w:szCs w:val="32"/>
          <w:lang w:val="en-US" w:eastAsia="zh-CN"/>
        </w:rPr>
        <w:t>10310.48</w:t>
      </w:r>
      <w:r>
        <w:rPr>
          <w:rFonts w:hint="eastAsia" w:ascii="仿宋_GB2312" w:hAnsi="仿宋_GB2312" w:eastAsia="仿宋_GB2312" w:cs="仿宋_GB2312"/>
          <w:sz w:val="32"/>
          <w:szCs w:val="32"/>
        </w:rPr>
        <w:t>万元，支出决算数为30559.32万元，完成年初预算的</w:t>
      </w:r>
      <w:r>
        <w:rPr>
          <w:rFonts w:hint="eastAsia" w:ascii="仿宋_GB2312" w:hAnsi="仿宋_GB2312" w:eastAsia="仿宋_GB2312" w:cs="仿宋_GB2312"/>
          <w:sz w:val="32"/>
          <w:szCs w:val="32"/>
          <w:lang w:val="en-US" w:eastAsia="zh-CN"/>
        </w:rPr>
        <w:t>296.39</w:t>
      </w:r>
      <w:r>
        <w:rPr>
          <w:rFonts w:hint="eastAsia" w:ascii="仿宋_GB2312" w:hAnsi="仿宋_GB2312" w:eastAsia="仿宋_GB2312" w:cs="仿宋_GB2312"/>
          <w:sz w:val="32"/>
          <w:szCs w:val="32"/>
        </w:rPr>
        <w:t>%，其中：</w:t>
      </w:r>
    </w:p>
    <w:p w14:paraId="585DD1D3">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1、一般公共服务（类）政府办公厅（室）及相关机构事务（款）其他政府办公厅（室）及相关机构事务支出（项）。</w:t>
      </w:r>
    </w:p>
    <w:p w14:paraId="491DAC87">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15.23</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val="en-US" w:eastAsia="zh-CN"/>
        </w:rPr>
        <w:t>由于预算数为0，无法计算完成年初预算的百分比</w:t>
      </w:r>
      <w:r>
        <w:rPr>
          <w:rFonts w:hint="eastAsia" w:ascii="仿宋_GB2312" w:hAnsi="仿宋_GB2312" w:eastAsia="仿宋_GB2312" w:cs="仿宋_GB2312"/>
          <w:sz w:val="32"/>
          <w:szCs w:val="32"/>
        </w:rPr>
        <w:t>，决算数大于年初预算数的主要原因是：</w:t>
      </w:r>
      <w:r>
        <w:rPr>
          <w:rFonts w:hint="eastAsia" w:ascii="仿宋_GB2312" w:hAnsi="仿宋_GB2312" w:eastAsia="仿宋_GB2312" w:cs="仿宋_GB2312"/>
          <w:sz w:val="32"/>
          <w:szCs w:val="32"/>
          <w:lang w:val="en-US" w:eastAsia="zh-CN"/>
        </w:rPr>
        <w:t>此笔支出为岳阳公路路网运行监测平台专项运维经费，未纳入年初预算，所以决算数大于预算数。</w:t>
      </w:r>
    </w:p>
    <w:p w14:paraId="1139DF50">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2、社会保障和就业支出（类）行政事业单位养老支出（款）机关事业单位基本养老保险缴费支出（项）。</w:t>
      </w:r>
    </w:p>
    <w:p w14:paraId="3BB7DD18">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732.91</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732.91</w:t>
      </w:r>
      <w:r>
        <w:rPr>
          <w:rFonts w:hint="eastAsia" w:ascii="仿宋_GB2312" w:hAnsi="仿宋_GB2312" w:eastAsia="仿宋_GB2312" w:cs="仿宋_GB2312"/>
          <w:sz w:val="32"/>
          <w:szCs w:val="32"/>
        </w:rPr>
        <w:t>万元，完成年初预算的</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%，决算数</w:t>
      </w:r>
      <w:r>
        <w:rPr>
          <w:rFonts w:hint="eastAsia" w:ascii="仿宋_GB2312" w:hAnsi="仿宋_GB2312" w:eastAsia="仿宋_GB2312" w:cs="仿宋_GB2312"/>
          <w:sz w:val="32"/>
          <w:szCs w:val="32"/>
          <w:lang w:val="en-US" w:eastAsia="zh-CN"/>
        </w:rPr>
        <w:t>等于</w:t>
      </w:r>
      <w:r>
        <w:rPr>
          <w:rFonts w:hint="eastAsia" w:ascii="仿宋_GB2312" w:hAnsi="仿宋_GB2312" w:eastAsia="仿宋_GB2312" w:cs="仿宋_GB2312"/>
          <w:sz w:val="32"/>
          <w:szCs w:val="32"/>
        </w:rPr>
        <w:t>年初预算数的主要原因是：</w:t>
      </w:r>
      <w:r>
        <w:rPr>
          <w:rFonts w:hint="eastAsia" w:ascii="仿宋_GB2312" w:hAnsi="仿宋_GB2312" w:eastAsia="仿宋_GB2312" w:cs="仿宋_GB2312"/>
          <w:sz w:val="32"/>
          <w:szCs w:val="32"/>
          <w:lang w:val="en-US" w:eastAsia="zh-CN"/>
        </w:rPr>
        <w:t>我单位支出未超预算，严格按预算执行。</w:t>
      </w:r>
    </w:p>
    <w:p w14:paraId="26A70FFC">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社会保障和就业支出（类）抚恤（款）其他优抚支出（项）。</w:t>
      </w:r>
    </w:p>
    <w:p w14:paraId="7A5109AA">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63.33</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val="en-US" w:eastAsia="zh-CN"/>
        </w:rPr>
        <w:t>由于预算数为0，无法计算完成年初预算的百分比</w:t>
      </w:r>
      <w:r>
        <w:rPr>
          <w:rFonts w:hint="eastAsia" w:ascii="仿宋_GB2312" w:hAnsi="仿宋_GB2312" w:eastAsia="仿宋_GB2312" w:cs="仿宋_GB2312"/>
          <w:sz w:val="32"/>
          <w:szCs w:val="32"/>
        </w:rPr>
        <w:t>，决算数大于年初预算数的主要原因是：</w:t>
      </w:r>
      <w:r>
        <w:rPr>
          <w:rFonts w:hint="eastAsia" w:ascii="仿宋_GB2312" w:hAnsi="仿宋_GB2312" w:eastAsia="仿宋_GB2312" w:cs="仿宋_GB2312"/>
          <w:sz w:val="32"/>
          <w:szCs w:val="32"/>
          <w:lang w:val="en-US" w:eastAsia="zh-CN"/>
        </w:rPr>
        <w:t>抚恤金未纳入财政预算，根据当年或上年的死亡人数再向财政申请专项资金。</w:t>
      </w:r>
    </w:p>
    <w:p w14:paraId="2568B1CA">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社会保障和就业支出（类）残疾人事业（款）其他残疾人事业支出（项）。</w:t>
      </w:r>
    </w:p>
    <w:p w14:paraId="76DCC1F4">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57</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57</w:t>
      </w:r>
      <w:r>
        <w:rPr>
          <w:rFonts w:hint="eastAsia" w:ascii="仿宋_GB2312" w:hAnsi="仿宋_GB2312" w:eastAsia="仿宋_GB2312" w:cs="仿宋_GB2312"/>
          <w:sz w:val="32"/>
          <w:szCs w:val="32"/>
        </w:rPr>
        <w:t>万元，完成年初预算的</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%，决算数</w:t>
      </w:r>
      <w:r>
        <w:rPr>
          <w:rFonts w:hint="eastAsia" w:ascii="仿宋_GB2312" w:hAnsi="仿宋_GB2312" w:eastAsia="仿宋_GB2312" w:cs="仿宋_GB2312"/>
          <w:sz w:val="32"/>
          <w:szCs w:val="32"/>
          <w:lang w:val="en-US" w:eastAsia="zh-CN"/>
        </w:rPr>
        <w:t>等于</w:t>
      </w:r>
      <w:r>
        <w:rPr>
          <w:rFonts w:hint="eastAsia" w:ascii="仿宋_GB2312" w:hAnsi="仿宋_GB2312" w:eastAsia="仿宋_GB2312" w:cs="仿宋_GB2312"/>
          <w:sz w:val="32"/>
          <w:szCs w:val="32"/>
        </w:rPr>
        <w:t>年初预算数的主要原因是：</w:t>
      </w:r>
      <w:r>
        <w:rPr>
          <w:rFonts w:hint="eastAsia" w:ascii="仿宋_GB2312" w:hAnsi="仿宋_GB2312" w:eastAsia="仿宋_GB2312" w:cs="仿宋_GB2312"/>
          <w:sz w:val="32"/>
          <w:szCs w:val="32"/>
          <w:lang w:val="en-US" w:eastAsia="zh-CN"/>
        </w:rPr>
        <w:t>我单位支出未超预算，严格按预算执行。</w:t>
      </w:r>
    </w:p>
    <w:p w14:paraId="6CC1C523">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社会保障和就业支出（类）其他社会保障和就业支出（款）其他社会保障和就业支出（项）。</w:t>
      </w:r>
    </w:p>
    <w:p w14:paraId="7A935F00">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12.52</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17.51</w:t>
      </w:r>
      <w:r>
        <w:rPr>
          <w:rFonts w:hint="eastAsia" w:ascii="仿宋_GB2312" w:hAnsi="仿宋_GB2312" w:eastAsia="仿宋_GB2312" w:cs="仿宋_GB2312"/>
          <w:sz w:val="32"/>
          <w:szCs w:val="32"/>
        </w:rPr>
        <w:t>万元，完成年初预算的</w:t>
      </w:r>
      <w:r>
        <w:rPr>
          <w:rFonts w:hint="eastAsia" w:ascii="仿宋_GB2312" w:hAnsi="仿宋_GB2312" w:eastAsia="仿宋_GB2312" w:cs="仿宋_GB2312"/>
          <w:sz w:val="32"/>
          <w:szCs w:val="32"/>
          <w:lang w:val="en-US" w:eastAsia="zh-CN"/>
        </w:rPr>
        <w:t>139.86</w:t>
      </w:r>
      <w:r>
        <w:rPr>
          <w:rFonts w:hint="eastAsia" w:ascii="仿宋_GB2312" w:hAnsi="仿宋_GB2312" w:eastAsia="仿宋_GB2312" w:cs="仿宋_GB2312"/>
          <w:sz w:val="32"/>
          <w:szCs w:val="32"/>
        </w:rPr>
        <w:t>%，决算数大于年初预算数的主要原因是：本年度根据人社、医保部门最新政策要求，新增及补缴单位职工各类社保配套费用，同时在职人员社保缴费基数年度调增、临时新增社会保障类补助支出，该部分支出未纳入年初预算编制范围，导致本年度该项科目实际支出超出年初预算额度。</w:t>
      </w:r>
    </w:p>
    <w:p w14:paraId="752C3CD3">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交通运输支出（类）公路水路运输（款）行政运行（项）。</w:t>
      </w:r>
    </w:p>
    <w:p w14:paraId="2ACF4DE4">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8529.87</w:t>
      </w:r>
      <w:r>
        <w:rPr>
          <w:rFonts w:hint="eastAsia" w:ascii="仿宋_GB2312" w:hAnsi="仿宋_GB2312" w:eastAsia="仿宋_GB2312" w:cs="仿宋_GB2312"/>
          <w:sz w:val="32"/>
          <w:szCs w:val="32"/>
        </w:rPr>
        <w:t>万元，支出决算为9387.78万元，完成年初预算的</w:t>
      </w:r>
      <w:r>
        <w:rPr>
          <w:rFonts w:hint="eastAsia" w:ascii="仿宋_GB2312" w:hAnsi="仿宋_GB2312" w:eastAsia="仿宋_GB2312" w:cs="仿宋_GB2312"/>
          <w:sz w:val="32"/>
          <w:szCs w:val="32"/>
          <w:lang w:val="en-US" w:eastAsia="zh-CN"/>
        </w:rPr>
        <w:t>110.06</w:t>
      </w:r>
      <w:r>
        <w:rPr>
          <w:rFonts w:hint="eastAsia" w:ascii="仿宋_GB2312" w:hAnsi="仿宋_GB2312" w:eastAsia="仿宋_GB2312" w:cs="仿宋_GB2312"/>
          <w:sz w:val="32"/>
          <w:szCs w:val="32"/>
        </w:rPr>
        <w:t>%，决算数大于年初预算数的主要原因是：本年度日常公路养护运维、机关行政运转、人员保障、应急处置等部分刚性支出年初无法精准预判，未纳入年初预算编制范围。同时，本年度公路养护作业量、机械运维、耗材购置及常态化保通保畅工作支出有所增加，导致该项科目实际支出较年初预算有所增长。</w:t>
      </w:r>
    </w:p>
    <w:p w14:paraId="7418D45F">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t>交通运输支出（类）公路水路运输（款）公路建设（项）。</w:t>
      </w:r>
    </w:p>
    <w:p w14:paraId="07B51422">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default" w:ascii="Times New Roman" w:hAnsi="Times New Roman" w:eastAsia="仿宋_GB2312"/>
          <w:sz w:val="32"/>
          <w:szCs w:val="32"/>
          <w:lang w:val="en-US" w:eastAsia="zh-CN"/>
        </w:rPr>
      </w:pP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万元，支出决算为2640.08万元，由于</w:t>
      </w:r>
      <w:r>
        <w:rPr>
          <w:rFonts w:hint="eastAsia" w:ascii="仿宋_GB2312" w:hAnsi="仿宋_GB2312" w:eastAsia="仿宋_GB2312" w:cs="仿宋_GB2312"/>
          <w:sz w:val="32"/>
          <w:szCs w:val="32"/>
          <w:lang w:val="en-US" w:eastAsia="zh-CN"/>
        </w:rPr>
        <w:t>年初预算</w:t>
      </w:r>
      <w:r>
        <w:rPr>
          <w:rFonts w:hint="eastAsia" w:ascii="仿宋_GB2312" w:hAnsi="仿宋_GB2312" w:eastAsia="仿宋_GB2312" w:cs="仿宋_GB2312"/>
          <w:sz w:val="32"/>
          <w:szCs w:val="32"/>
        </w:rPr>
        <w:t>为0，故无法计算</w:t>
      </w:r>
      <w:r>
        <w:rPr>
          <w:rFonts w:hint="eastAsia" w:ascii="仿宋_GB2312" w:hAnsi="仿宋_GB2312" w:eastAsia="仿宋_GB2312" w:cs="仿宋_GB2312"/>
          <w:sz w:val="32"/>
          <w:szCs w:val="32"/>
          <w:lang w:val="en-US" w:eastAsia="zh-CN"/>
        </w:rPr>
        <w:t>完成年初预算</w:t>
      </w:r>
      <w:r>
        <w:rPr>
          <w:rFonts w:hint="eastAsia" w:ascii="仿宋_GB2312" w:hAnsi="仿宋_GB2312" w:eastAsia="仿宋_GB2312" w:cs="仿宋_GB2312"/>
          <w:sz w:val="32"/>
          <w:szCs w:val="32"/>
        </w:rPr>
        <w:t>的比重。</w:t>
      </w:r>
      <w:r>
        <w:rPr>
          <w:rFonts w:hint="eastAsia" w:ascii="Times New Roman" w:hAnsi="Times New Roman" w:eastAsia="仿宋_GB2312"/>
          <w:sz w:val="32"/>
          <w:szCs w:val="32"/>
        </w:rPr>
        <w:t>决算数大于年初预算数的主要原因是：</w:t>
      </w:r>
      <w:r>
        <w:rPr>
          <w:rFonts w:hint="eastAsia" w:ascii="Times New Roman" w:hAnsi="Times New Roman" w:eastAsia="仿宋_GB2312"/>
          <w:sz w:val="32"/>
          <w:szCs w:val="32"/>
          <w:lang w:val="en-US" w:eastAsia="zh-CN"/>
        </w:rPr>
        <w:t>此项为省级专项资金，市财政未纳入年初预算。</w:t>
      </w:r>
    </w:p>
    <w:p w14:paraId="04B7F476">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rPr>
        <w:t>交通运输支出（类）公路水路运输（款）公路养护（项）。</w:t>
      </w:r>
    </w:p>
    <w:p w14:paraId="5925B3C2">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val="en-US" w:eastAsia="zh-CN"/>
        </w:rPr>
      </w:pP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1130</w:t>
      </w:r>
      <w:r>
        <w:rPr>
          <w:rFonts w:hint="eastAsia" w:ascii="仿宋_GB2312" w:hAnsi="仿宋_GB2312" w:eastAsia="仿宋_GB2312" w:cs="仿宋_GB2312"/>
          <w:sz w:val="32"/>
          <w:szCs w:val="32"/>
        </w:rPr>
        <w:t>万元，支出决算为14991.28万元，由于</w:t>
      </w:r>
      <w:r>
        <w:rPr>
          <w:rFonts w:hint="eastAsia" w:ascii="仿宋_GB2312" w:hAnsi="仿宋_GB2312" w:eastAsia="仿宋_GB2312" w:cs="仿宋_GB2312"/>
          <w:sz w:val="32"/>
          <w:szCs w:val="32"/>
          <w:lang w:val="en-US" w:eastAsia="zh-CN"/>
        </w:rPr>
        <w:t>年初预算</w:t>
      </w:r>
      <w:r>
        <w:rPr>
          <w:rFonts w:hint="eastAsia" w:ascii="仿宋_GB2312" w:hAnsi="仿宋_GB2312" w:eastAsia="仿宋_GB2312" w:cs="仿宋_GB2312"/>
          <w:sz w:val="32"/>
          <w:szCs w:val="32"/>
        </w:rPr>
        <w:t>为0，故无法计算</w:t>
      </w:r>
      <w:r>
        <w:rPr>
          <w:rFonts w:hint="eastAsia" w:ascii="仿宋_GB2312" w:hAnsi="仿宋_GB2312" w:eastAsia="仿宋_GB2312" w:cs="仿宋_GB2312"/>
          <w:sz w:val="32"/>
          <w:szCs w:val="32"/>
          <w:lang w:val="en-US" w:eastAsia="zh-CN"/>
        </w:rPr>
        <w:t>完成年初预算</w:t>
      </w:r>
      <w:r>
        <w:rPr>
          <w:rFonts w:hint="eastAsia" w:ascii="仿宋_GB2312" w:hAnsi="仿宋_GB2312" w:eastAsia="仿宋_GB2312" w:cs="仿宋_GB2312"/>
          <w:sz w:val="32"/>
          <w:szCs w:val="32"/>
        </w:rPr>
        <w:t>的比重。</w:t>
      </w:r>
      <w:r>
        <w:rPr>
          <w:rFonts w:hint="eastAsia" w:ascii="Times New Roman" w:hAnsi="Times New Roman" w:eastAsia="仿宋_GB2312"/>
          <w:sz w:val="32"/>
          <w:szCs w:val="32"/>
        </w:rPr>
        <w:t>决算数大于年初预算数的主要原因是：</w:t>
      </w:r>
      <w:r>
        <w:rPr>
          <w:rFonts w:hint="eastAsia" w:ascii="Times New Roman" w:hAnsi="Times New Roman" w:eastAsia="仿宋_GB2312"/>
          <w:sz w:val="32"/>
          <w:szCs w:val="32"/>
          <w:lang w:val="en-US" w:eastAsia="zh-CN"/>
        </w:rPr>
        <w:t>本项年初预算仅编列市级专项经费，省级下达的专项资金由市财政统一办理追加，未纳入单位年初部门预算，年度执行中通过预算追加方式落实资金，实际发生支出包含省级专项补助资金，造成决算支出远大于年初预算。</w:t>
      </w:r>
    </w:p>
    <w:p w14:paraId="5CCC752A">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交通运输支出（类）公路水路运输（款）其他公路水路运输支出（项）。</w:t>
      </w:r>
    </w:p>
    <w:p w14:paraId="27F51542">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default" w:ascii="Times New Roman" w:hAnsi="Times New Roman" w:eastAsia="仿宋_GB2312"/>
          <w:sz w:val="32"/>
          <w:szCs w:val="32"/>
          <w:lang w:val="en-US" w:eastAsia="zh-CN"/>
        </w:rPr>
      </w:pP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万元，支出决算为30.9万元，由于</w:t>
      </w:r>
      <w:r>
        <w:rPr>
          <w:rFonts w:hint="eastAsia" w:ascii="仿宋_GB2312" w:hAnsi="仿宋_GB2312" w:eastAsia="仿宋_GB2312" w:cs="仿宋_GB2312"/>
          <w:sz w:val="32"/>
          <w:szCs w:val="32"/>
          <w:lang w:val="en-US" w:eastAsia="zh-CN"/>
        </w:rPr>
        <w:t>年初预算</w:t>
      </w:r>
      <w:r>
        <w:rPr>
          <w:rFonts w:hint="eastAsia" w:ascii="仿宋_GB2312" w:hAnsi="仿宋_GB2312" w:eastAsia="仿宋_GB2312" w:cs="仿宋_GB2312"/>
          <w:sz w:val="32"/>
          <w:szCs w:val="32"/>
        </w:rPr>
        <w:t>为0，故无法计算</w:t>
      </w:r>
      <w:r>
        <w:rPr>
          <w:rFonts w:hint="eastAsia" w:ascii="仿宋_GB2312" w:hAnsi="仿宋_GB2312" w:eastAsia="仿宋_GB2312" w:cs="仿宋_GB2312"/>
          <w:sz w:val="32"/>
          <w:szCs w:val="32"/>
          <w:lang w:val="en-US" w:eastAsia="zh-CN"/>
        </w:rPr>
        <w:t>完成年初预算</w:t>
      </w:r>
      <w:r>
        <w:rPr>
          <w:rFonts w:hint="eastAsia" w:ascii="仿宋_GB2312" w:hAnsi="仿宋_GB2312" w:eastAsia="仿宋_GB2312" w:cs="仿宋_GB2312"/>
          <w:sz w:val="32"/>
          <w:szCs w:val="32"/>
        </w:rPr>
        <w:t>的比重。</w:t>
      </w:r>
      <w:r>
        <w:rPr>
          <w:rFonts w:hint="eastAsia" w:ascii="Times New Roman" w:hAnsi="Times New Roman" w:eastAsia="仿宋_GB2312"/>
          <w:sz w:val="32"/>
          <w:szCs w:val="32"/>
        </w:rPr>
        <w:t>决算数大于年初预算数的主要原因是：</w:t>
      </w:r>
      <w:r>
        <w:rPr>
          <w:rFonts w:hint="eastAsia" w:ascii="Times New Roman" w:hAnsi="Times New Roman" w:eastAsia="仿宋_GB2312"/>
          <w:sz w:val="32"/>
          <w:szCs w:val="32"/>
          <w:lang w:val="en-US" w:eastAsia="zh-CN"/>
        </w:rPr>
        <w:t>此项为省级专项资金，市财政未纳入年初预算。</w:t>
      </w:r>
    </w:p>
    <w:p w14:paraId="44F1FA54">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10、</w:t>
      </w:r>
      <w:r>
        <w:rPr>
          <w:rFonts w:hint="eastAsia" w:ascii="仿宋_GB2312" w:hAnsi="仿宋_GB2312" w:eastAsia="仿宋_GB2312" w:cs="仿宋_GB2312"/>
          <w:sz w:val="32"/>
          <w:szCs w:val="32"/>
        </w:rPr>
        <w:t>交通运输支出（类）其他交通运输支出（款）其他交通运输支出（项）。</w:t>
      </w:r>
    </w:p>
    <w:p w14:paraId="5F2B86B9">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default" w:ascii="Times New Roman" w:hAnsi="Times New Roman" w:eastAsia="仿宋_GB2312"/>
          <w:sz w:val="32"/>
          <w:szCs w:val="32"/>
          <w:lang w:val="en-US" w:eastAsia="zh-CN"/>
        </w:rPr>
      </w:pP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万元，支出决算为2099.5万元，由于</w:t>
      </w:r>
      <w:r>
        <w:rPr>
          <w:rFonts w:hint="eastAsia" w:ascii="仿宋_GB2312" w:hAnsi="仿宋_GB2312" w:eastAsia="仿宋_GB2312" w:cs="仿宋_GB2312"/>
          <w:sz w:val="32"/>
          <w:szCs w:val="32"/>
          <w:lang w:val="en-US" w:eastAsia="zh-CN"/>
        </w:rPr>
        <w:t>年初预算</w:t>
      </w:r>
      <w:r>
        <w:rPr>
          <w:rFonts w:hint="eastAsia" w:ascii="仿宋_GB2312" w:hAnsi="仿宋_GB2312" w:eastAsia="仿宋_GB2312" w:cs="仿宋_GB2312"/>
          <w:sz w:val="32"/>
          <w:szCs w:val="32"/>
        </w:rPr>
        <w:t>为0，故无法计算</w:t>
      </w:r>
      <w:r>
        <w:rPr>
          <w:rFonts w:hint="eastAsia" w:ascii="仿宋_GB2312" w:hAnsi="仿宋_GB2312" w:eastAsia="仿宋_GB2312" w:cs="仿宋_GB2312"/>
          <w:sz w:val="32"/>
          <w:szCs w:val="32"/>
          <w:lang w:val="en-US" w:eastAsia="zh-CN"/>
        </w:rPr>
        <w:t>完成年初预算</w:t>
      </w:r>
      <w:r>
        <w:rPr>
          <w:rFonts w:hint="eastAsia" w:ascii="仿宋_GB2312" w:hAnsi="仿宋_GB2312" w:eastAsia="仿宋_GB2312" w:cs="仿宋_GB2312"/>
          <w:sz w:val="32"/>
          <w:szCs w:val="32"/>
        </w:rPr>
        <w:t>的比重。</w:t>
      </w:r>
      <w:r>
        <w:rPr>
          <w:rFonts w:hint="eastAsia" w:ascii="Times New Roman" w:hAnsi="Times New Roman" w:eastAsia="仿宋_GB2312"/>
          <w:sz w:val="32"/>
          <w:szCs w:val="32"/>
        </w:rPr>
        <w:t>决算数大于年初预算数的主要原因是：</w:t>
      </w:r>
      <w:r>
        <w:rPr>
          <w:rFonts w:hint="eastAsia" w:ascii="Times New Roman" w:hAnsi="Times New Roman" w:eastAsia="仿宋_GB2312"/>
          <w:sz w:val="32"/>
          <w:szCs w:val="32"/>
          <w:lang w:val="en-US" w:eastAsia="zh-CN"/>
        </w:rPr>
        <w:t>此项为省级专项资金，市财政未纳入年初预算。</w:t>
      </w:r>
    </w:p>
    <w:p w14:paraId="564623DC">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11、</w:t>
      </w:r>
      <w:r>
        <w:rPr>
          <w:rFonts w:hint="eastAsia" w:ascii="仿宋_GB2312" w:hAnsi="仿宋_GB2312" w:eastAsia="仿宋_GB2312" w:cs="仿宋_GB2312"/>
          <w:sz w:val="32"/>
          <w:szCs w:val="32"/>
        </w:rPr>
        <w:t>住房保障支出（类）住房改革支出（款）住房公积金（项）。</w:t>
      </w:r>
    </w:p>
    <w:p w14:paraId="60A306B2">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527.89</w:t>
      </w:r>
      <w:r>
        <w:rPr>
          <w:rFonts w:hint="eastAsia" w:ascii="仿宋_GB2312" w:hAnsi="仿宋_GB2312" w:eastAsia="仿宋_GB2312" w:cs="仿宋_GB2312"/>
          <w:sz w:val="32"/>
          <w:szCs w:val="32"/>
        </w:rPr>
        <w:t>万元，支出决算为523.81万元，完成年初预算的</w:t>
      </w:r>
      <w:r>
        <w:rPr>
          <w:rFonts w:hint="eastAsia" w:ascii="仿宋_GB2312" w:hAnsi="仿宋_GB2312" w:eastAsia="仿宋_GB2312" w:cs="仿宋_GB2312"/>
          <w:sz w:val="32"/>
          <w:szCs w:val="32"/>
          <w:lang w:val="en-US" w:eastAsia="zh-CN"/>
        </w:rPr>
        <w:t>99.22</w:t>
      </w:r>
      <w:r>
        <w:rPr>
          <w:rFonts w:hint="eastAsia" w:ascii="仿宋_GB2312" w:hAnsi="仿宋_GB2312" w:eastAsia="仿宋_GB2312" w:cs="仿宋_GB2312"/>
          <w:sz w:val="32"/>
          <w:szCs w:val="32"/>
        </w:rPr>
        <w:t>%，决算数小于年初预算数的主要原因是：年度内人员发生正常变动，部分人员调动、退休，住房公积金缴存基数及缴存人数较预算测算时有所减少，实际缴存金额相应低于年初预算测算数。</w:t>
      </w:r>
    </w:p>
    <w:p w14:paraId="10A90C64">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六、一般公共预算财政拨款基本支出决算情况说明</w:t>
      </w:r>
    </w:p>
    <w:p w14:paraId="73917623">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rPr>
        <w:t>度</w:t>
      </w:r>
      <w:r>
        <w:rPr>
          <w:rFonts w:hint="eastAsia" w:ascii="仿宋_GB2312" w:hAnsi="仿宋_GB2312" w:eastAsia="仿宋_GB2312" w:cs="仿宋_GB2312"/>
          <w:sz w:val="32"/>
          <w:szCs w:val="32"/>
          <w:lang w:eastAsia="zh-CN"/>
        </w:rPr>
        <w:t>一般公共预算</w:t>
      </w:r>
      <w:r>
        <w:rPr>
          <w:rFonts w:hint="eastAsia" w:ascii="仿宋_GB2312" w:hAnsi="仿宋_GB2312" w:eastAsia="仿宋_GB2312" w:cs="仿宋_GB2312"/>
          <w:sz w:val="32"/>
          <w:szCs w:val="32"/>
        </w:rPr>
        <w:t>财政拨款基本支出</w:t>
      </w:r>
      <w:r>
        <w:rPr>
          <w:rFonts w:hint="eastAsia" w:ascii="仿宋_GB2312" w:hAnsi="仿宋_GB2312" w:eastAsia="仿宋_GB2312" w:cs="仿宋_GB2312"/>
          <w:sz w:val="32"/>
          <w:szCs w:val="32"/>
          <w:lang w:val="en-US" w:eastAsia="zh-CN"/>
        </w:rPr>
        <w:t>10942.29</w:t>
      </w:r>
      <w:r>
        <w:rPr>
          <w:rFonts w:hint="eastAsia" w:ascii="仿宋_GB2312" w:hAnsi="仿宋_GB2312" w:eastAsia="仿宋_GB2312" w:cs="仿宋_GB2312"/>
          <w:sz w:val="32"/>
          <w:szCs w:val="32"/>
        </w:rPr>
        <w:t>万元，其中：</w:t>
      </w:r>
    </w:p>
    <w:p w14:paraId="5BBEA98C">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eastAsia="zh-CN"/>
        </w:rPr>
      </w:pPr>
      <w:r>
        <w:rPr>
          <w:rFonts w:hint="eastAsia" w:ascii="仿宋_GB2312" w:hAnsi="仿宋_GB2312" w:eastAsia="仿宋_GB2312" w:cs="仿宋_GB2312"/>
          <w:b/>
          <w:bCs/>
          <w:sz w:val="32"/>
          <w:szCs w:val="32"/>
        </w:rPr>
        <w:t>人员经费</w:t>
      </w:r>
      <w:r>
        <w:rPr>
          <w:rFonts w:hint="eastAsia" w:ascii="仿宋_GB2312" w:hAnsi="仿宋_GB2312" w:eastAsia="仿宋_GB2312" w:cs="仿宋_GB2312"/>
          <w:sz w:val="32"/>
          <w:szCs w:val="32"/>
        </w:rPr>
        <w:t>10173.4万元，占基本支出的</w:t>
      </w:r>
      <w:r>
        <w:rPr>
          <w:rFonts w:hint="eastAsia" w:ascii="仿宋_GB2312" w:hAnsi="仿宋_GB2312" w:eastAsia="仿宋_GB2312" w:cs="仿宋_GB2312"/>
          <w:sz w:val="32"/>
          <w:szCs w:val="32"/>
          <w:lang w:val="en-US" w:eastAsia="zh-CN"/>
        </w:rPr>
        <w:t>92.97</w:t>
      </w:r>
      <w:r>
        <w:rPr>
          <w:rFonts w:hint="eastAsia" w:ascii="仿宋_GB2312" w:hAnsi="仿宋_GB2312" w:eastAsia="仿宋_GB2312" w:cs="仿宋_GB2312"/>
          <w:sz w:val="32"/>
          <w:szCs w:val="32"/>
        </w:rPr>
        <w:t>%,主要包括基本工资、津贴补贴、奖金、伙食补助费</w:t>
      </w:r>
      <w:r>
        <w:rPr>
          <w:rFonts w:hint="eastAsia" w:ascii="仿宋_GB2312" w:hAnsi="仿宋_GB2312" w:eastAsia="仿宋_GB2312" w:cs="仿宋_GB2312"/>
          <w:sz w:val="32"/>
          <w:szCs w:val="32"/>
          <w:lang w:val="en-US" w:eastAsia="zh-CN"/>
        </w:rPr>
        <w:t>、绩效工资、机关事业单位基本养老保险缴费、职工基本医疗保险缴费</w:t>
      </w:r>
      <w:r>
        <w:rPr>
          <w:rFonts w:hint="eastAsia" w:ascii="Times New Roman" w:hAnsi="Times New Roman" w:eastAsia="仿宋_GB2312"/>
          <w:sz w:val="32"/>
          <w:szCs w:val="32"/>
          <w:lang w:val="en-US" w:eastAsia="zh-CN"/>
        </w:rPr>
        <w:t>、公务员医疗补助缴费、其他社会保障缴费、住房公积金、医疗费。（2）对个人和家庭的补助：退休费、抚恤金、生活补助、医疗费补助、奖励金、其他对个人和家庭的补助</w:t>
      </w:r>
      <w:r>
        <w:rPr>
          <w:rFonts w:hint="eastAsia" w:ascii="Times New Roman" w:hAnsi="Times New Roman" w:eastAsia="仿宋_GB2312"/>
          <w:sz w:val="32"/>
          <w:szCs w:val="32"/>
          <w:lang w:eastAsia="zh-CN"/>
        </w:rPr>
        <w:t>。</w:t>
      </w:r>
    </w:p>
    <w:p w14:paraId="430152A2">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bCs/>
          <w:sz w:val="32"/>
          <w:szCs w:val="32"/>
        </w:rPr>
        <w:t>公用经费</w:t>
      </w:r>
      <w:r>
        <w:rPr>
          <w:rFonts w:hint="eastAsia" w:ascii="仿宋_GB2312" w:hAnsi="仿宋_GB2312" w:eastAsia="仿宋_GB2312" w:cs="仿宋_GB2312"/>
          <w:sz w:val="32"/>
          <w:szCs w:val="32"/>
        </w:rPr>
        <w:t>768.89万元，占基本支出的</w:t>
      </w:r>
      <w:r>
        <w:rPr>
          <w:rFonts w:hint="eastAsia" w:ascii="仿宋_GB2312" w:hAnsi="仿宋_GB2312" w:eastAsia="仿宋_GB2312" w:cs="仿宋_GB2312"/>
          <w:sz w:val="32"/>
          <w:szCs w:val="32"/>
          <w:lang w:val="en-US" w:eastAsia="zh-CN"/>
        </w:rPr>
        <w:t>7.03</w:t>
      </w:r>
      <w:r>
        <w:rPr>
          <w:rFonts w:hint="eastAsia" w:ascii="仿宋_GB2312" w:hAnsi="仿宋_GB2312" w:eastAsia="仿宋_GB2312" w:cs="仿宋_GB2312"/>
          <w:sz w:val="32"/>
          <w:szCs w:val="32"/>
        </w:rPr>
        <w:t>%，主要包括办公费、印刷费、咨询费、手续费</w:t>
      </w:r>
      <w:r>
        <w:rPr>
          <w:rFonts w:hint="eastAsia" w:ascii="Times New Roman" w:hAnsi="Times New Roman" w:eastAsia="仿宋_GB2312"/>
          <w:sz w:val="32"/>
          <w:szCs w:val="32"/>
          <w:lang w:val="en-US" w:eastAsia="zh-CN"/>
        </w:rPr>
        <w:t>、水费、电费、邮电费、物业管理费、差旅费、维修费、租赁费、会议费、培训费、公务接待费、劳务费、委托业务费、工会经费、福利费、公务车运行维护费、其他交通费用、其他商品和服务支出、资本性支出办公设备购置。</w:t>
      </w:r>
    </w:p>
    <w:p w14:paraId="201EB2A8">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七、政府性基金预算收入支出决算情况</w:t>
      </w:r>
    </w:p>
    <w:p w14:paraId="311003F2">
      <w:pPr>
        <w:keepNext w:val="0"/>
        <w:keepLines w:val="0"/>
        <w:pageBreakBefore w:val="0"/>
        <w:widowControl w:val="0"/>
        <w:kinsoku/>
        <w:wordWrap/>
        <w:overflowPunct/>
        <w:topLinePunct w:val="0"/>
        <w:autoSpaceDE w:val="0"/>
        <w:autoSpaceDN w:val="0"/>
        <w:bidi w:val="0"/>
        <w:adjustRightInd w:val="0"/>
        <w:snapToGrid/>
        <w:spacing w:line="600" w:lineRule="exact"/>
        <w:textAlignment w:val="auto"/>
        <w:rPr>
          <w:rFonts w:hint="eastAsia" w:ascii="黑体" w:hAnsi="黑体" w:eastAsia="黑体" w:cs="黑体"/>
          <w:b w:val="0"/>
          <w:bCs/>
          <w:color w:val="000000"/>
          <w:kern w:val="0"/>
          <w:sz w:val="32"/>
          <w:szCs w:val="32"/>
          <w:highlight w:val="none"/>
          <w:lang w:val="en-US" w:eastAsia="zh-CN" w:bidi="ar-SA"/>
        </w:rPr>
      </w:pPr>
      <w:r>
        <w:rPr>
          <w:rFonts w:hint="eastAsia" w:ascii="Times New Roman" w:hAnsi="Times New Roman" w:eastAsia="仿宋_GB2312"/>
          <w:sz w:val="32"/>
          <w:szCs w:val="32"/>
        </w:rPr>
        <w:t xml:space="preserve">     </w:t>
      </w: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rPr>
        <w:t>度政府性基金预算财政拨款收入</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万元；年初结转和结余</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万元；支出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万元，其中基本支出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万元，项目支出</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万元；年末结转和结余</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w:t>
      </w:r>
    </w:p>
    <w:p w14:paraId="34F7B7BD">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黑体" w:hAnsi="黑体" w:eastAsia="黑体" w:cs="黑体"/>
          <w:b w:val="0"/>
          <w:bCs/>
          <w:color w:val="000000"/>
          <w:kern w:val="0"/>
          <w:sz w:val="32"/>
          <w:szCs w:val="32"/>
          <w:lang w:val="en-US" w:eastAsia="zh-CN" w:bidi="ar-SA"/>
        </w:rPr>
      </w:pPr>
      <w:r>
        <w:rPr>
          <w:rFonts w:hint="eastAsia" w:ascii="黑体" w:hAnsi="黑体" w:eastAsia="黑体" w:cs="黑体"/>
          <w:b w:val="0"/>
          <w:bCs/>
          <w:color w:val="000000"/>
          <w:kern w:val="0"/>
          <w:sz w:val="32"/>
          <w:szCs w:val="32"/>
          <w:lang w:val="en-US" w:eastAsia="zh-CN" w:bidi="ar-SA"/>
        </w:rPr>
        <w:t>八、国有资本经营预算财政拨款支出决算情况</w:t>
      </w:r>
    </w:p>
    <w:p w14:paraId="702035C2">
      <w:pPr>
        <w:keepNext w:val="0"/>
        <w:keepLines w:val="0"/>
        <w:pageBreakBefore w:val="0"/>
        <w:widowControl w:val="0"/>
        <w:numPr>
          <w:ilvl w:val="0"/>
          <w:numId w:val="0"/>
        </w:numPr>
        <w:kinsoku/>
        <w:wordWrap/>
        <w:overflowPunct/>
        <w:topLinePunct w:val="0"/>
        <w:autoSpaceDE w:val="0"/>
        <w:autoSpaceDN w:val="0"/>
        <w:bidi w:val="0"/>
        <w:adjustRightInd w:val="0"/>
        <w:snapToGrid/>
        <w:spacing w:line="600" w:lineRule="exact"/>
        <w:textAlignment w:val="auto"/>
        <w:rPr>
          <w:rFonts w:hint="eastAsia" w:ascii="黑体" w:hAnsi="黑体" w:eastAsia="黑体" w:cs="黑体"/>
          <w:b w:val="0"/>
          <w:bCs/>
          <w:sz w:val="32"/>
          <w:szCs w:val="32"/>
        </w:rPr>
      </w:pPr>
      <w:r>
        <w:rPr>
          <w:rFonts w:hint="eastAsia" w:ascii="仿宋_GB2312" w:hAnsi="仿宋_GB2312" w:eastAsia="仿宋_GB2312" w:cs="仿宋_GB2312"/>
          <w:color w:val="000000"/>
          <w:kern w:val="0"/>
          <w:sz w:val="32"/>
          <w:szCs w:val="32"/>
          <w:highlight w:val="none"/>
          <w:lang w:val="en-US" w:eastAsia="zh-CN" w:bidi="ar-SA"/>
        </w:rPr>
        <w:t>2025年度国有资本经营预算财政拨款收入0万元；年初结转和结余0万；支出0万元，</w:t>
      </w:r>
      <w:r>
        <w:rPr>
          <w:rFonts w:hint="eastAsia" w:ascii="仿宋_GB2312" w:hAnsi="仿宋_GB2312" w:eastAsia="仿宋_GB2312" w:cs="仿宋_GB2312"/>
          <w:i w:val="0"/>
          <w:iCs/>
          <w:color w:val="000000" w:themeColor="text1"/>
          <w:kern w:val="0"/>
          <w:sz w:val="32"/>
          <w:szCs w:val="32"/>
          <w:highlight w:val="none"/>
          <w:lang w:val="en-US" w:eastAsia="zh-CN" w:bidi="ar-SA"/>
          <w14:textFill>
            <w14:solidFill>
              <w14:schemeClr w14:val="tx1"/>
            </w14:solidFill>
          </w14:textFill>
        </w:rPr>
        <w:t>其中：基本支出0万元，项目支出0万元</w:t>
      </w:r>
      <w:r>
        <w:rPr>
          <w:rFonts w:hint="eastAsia" w:ascii="仿宋_GB2312" w:hAnsi="仿宋_GB2312" w:eastAsia="仿宋_GB2312" w:cs="仿宋_GB2312"/>
          <w:color w:val="000000"/>
          <w:kern w:val="0"/>
          <w:sz w:val="32"/>
          <w:szCs w:val="32"/>
          <w:highlight w:val="none"/>
          <w:lang w:val="en-US" w:eastAsia="zh-CN" w:bidi="ar-SA"/>
        </w:rPr>
        <w:t>；年末结转和结余0万元。</w:t>
      </w:r>
    </w:p>
    <w:p w14:paraId="620CE928">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hAnsi="黑体" w:cs="黑体"/>
          <w:b w:val="0"/>
          <w:bCs/>
          <w:sz w:val="32"/>
          <w:szCs w:val="32"/>
          <w:lang w:eastAsia="zh-CN"/>
        </w:rPr>
        <w:t>九、</w:t>
      </w:r>
      <w:r>
        <w:rPr>
          <w:rFonts w:hint="eastAsia" w:ascii="黑体" w:hAnsi="黑体" w:eastAsia="黑体" w:cs="黑体"/>
          <w:b w:val="0"/>
          <w:bCs/>
          <w:sz w:val="32"/>
          <w:szCs w:val="32"/>
        </w:rPr>
        <w:t>财政拨款三公经费支出决算情况说明</w:t>
      </w:r>
    </w:p>
    <w:p w14:paraId="7D617CED">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w:t>
      </w:r>
      <w:r>
        <w:rPr>
          <w:rFonts w:hint="eastAsia" w:ascii="Times New Roman" w:hAnsi="Times New Roman" w:eastAsia="楷体_GB2312" w:cs="Times New Roman"/>
          <w:b/>
          <w:sz w:val="32"/>
          <w:szCs w:val="32"/>
          <w:lang w:eastAsia="zh-CN"/>
        </w:rPr>
        <w:t>“三公”</w:t>
      </w:r>
      <w:r>
        <w:rPr>
          <w:rFonts w:ascii="Times New Roman" w:hAnsi="Times New Roman" w:eastAsia="楷体_GB2312" w:cs="Times New Roman"/>
          <w:b/>
          <w:sz w:val="32"/>
          <w:szCs w:val="32"/>
        </w:rPr>
        <w:t>经费财政拨款支出决算总体情况说明</w:t>
      </w:r>
    </w:p>
    <w:p w14:paraId="3DDAC9FF">
      <w:pPr>
        <w:pStyle w:val="13"/>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度“三公”经费财政拨款支出预算为</w:t>
      </w:r>
      <w:r>
        <w:rPr>
          <w:rFonts w:hint="eastAsia" w:ascii="Times New Roman" w:hAnsi="Times New Roman" w:eastAsia="仿宋_GB2312" w:cs="Times New Roman"/>
          <w:sz w:val="32"/>
          <w:szCs w:val="32"/>
          <w:lang w:val="en-US" w:eastAsia="zh-CN"/>
        </w:rPr>
        <w:t>67</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63.48</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94.75</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5.1</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1.35</w:t>
      </w:r>
      <w:r>
        <w:rPr>
          <w:rFonts w:ascii="Times New Roman" w:hAnsi="Times New Roman" w:eastAsia="仿宋_GB2312" w:cs="Times New Roman"/>
          <w:sz w:val="32"/>
          <w:szCs w:val="32"/>
        </w:rPr>
        <w:t>%。决算数小于预算数的主要原因是</w:t>
      </w:r>
      <w:r>
        <w:rPr>
          <w:rFonts w:hint="eastAsia" w:ascii="仿宋_GB2312" w:hAnsi="仿宋_GB2312" w:eastAsia="仿宋_GB2312" w:cs="仿宋_GB2312"/>
          <w:sz w:val="32"/>
          <w:szCs w:val="32"/>
          <w:lang w:eastAsia="zh-CN"/>
        </w:rPr>
        <w:t>我单位严格落实厉行节约相关政策要求，从严管控公务接待、公务用车等各项三公经费开支，强化事前审核，压减非必要公务活动，实际支出较预算有所节约</w:t>
      </w:r>
      <w:r>
        <w:rPr>
          <w:rFonts w:ascii="Times New Roman" w:hAnsi="Times New Roman" w:eastAsia="仿宋_GB2312" w:cs="Times New Roman"/>
          <w:sz w:val="32"/>
          <w:szCs w:val="32"/>
        </w:rPr>
        <w:t>。决算数大于（小于）上年数的主要原因是</w:t>
      </w:r>
      <w:r>
        <w:rPr>
          <w:rFonts w:hint="eastAsia" w:ascii="仿宋_GB2312" w:hAnsi="仿宋_GB2312" w:eastAsia="仿宋_GB2312" w:cs="仿宋_GB2312"/>
          <w:sz w:val="32"/>
          <w:szCs w:val="32"/>
          <w:lang w:eastAsia="zh-CN"/>
        </w:rPr>
        <w:t>持续落实过紧日子要求，进一步规范公务接待标准，精简公务出行与接待活动，从严把控开支关口，三公经费支出较上年度有所下降</w:t>
      </w:r>
      <w:r>
        <w:rPr>
          <w:rFonts w:ascii="Times New Roman" w:hAnsi="Times New Roman" w:eastAsia="仿宋_GB2312" w:cs="Times New Roman"/>
          <w:sz w:val="32"/>
          <w:szCs w:val="32"/>
        </w:rPr>
        <w:t>。</w:t>
      </w:r>
    </w:p>
    <w:p w14:paraId="64BB97F3">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w:t>
      </w:r>
      <w:r>
        <w:rPr>
          <w:rFonts w:hint="eastAsia" w:ascii="Times New Roman" w:hAnsi="Times New Roman" w:eastAsia="楷体_GB2312" w:cs="Times New Roman"/>
          <w:b/>
          <w:sz w:val="32"/>
          <w:szCs w:val="32"/>
          <w:lang w:eastAsia="zh-CN"/>
        </w:rPr>
        <w:t>“三公”</w:t>
      </w:r>
      <w:r>
        <w:rPr>
          <w:rFonts w:ascii="Times New Roman" w:hAnsi="Times New Roman" w:eastAsia="楷体_GB2312" w:cs="Times New Roman"/>
          <w:b/>
          <w:sz w:val="32"/>
          <w:szCs w:val="32"/>
        </w:rPr>
        <w:t>经费财政拨款支出决算具体情况说明</w:t>
      </w:r>
    </w:p>
    <w:p w14:paraId="67C5B965">
      <w:pPr>
        <w:pStyle w:val="13"/>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1.</w:t>
      </w:r>
      <w:r>
        <w:rPr>
          <w:rFonts w:ascii="Times New Roman" w:hAnsi="Times New Roman" w:eastAsia="仿宋_GB2312" w:cs="Times New Roman"/>
          <w:color w:val="000000" w:themeColor="text1"/>
          <w:sz w:val="32"/>
          <w:szCs w:val="32"/>
          <w14:textFill>
            <w14:solidFill>
              <w14:schemeClr w14:val="tx1"/>
            </w14:solidFill>
          </w14:textFill>
        </w:rPr>
        <w:t>因公出国（境）费支出预算为</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0</w:t>
      </w:r>
      <w:r>
        <w:rPr>
          <w:rFonts w:ascii="Times New Roman" w:hAnsi="Times New Roman" w:eastAsia="仿宋_GB2312" w:cs="Times New Roman"/>
          <w:color w:val="000000" w:themeColor="text1"/>
          <w:sz w:val="32"/>
          <w:szCs w:val="32"/>
          <w14:textFill>
            <w14:solidFill>
              <w14:schemeClr w14:val="tx1"/>
            </w14:solidFill>
          </w14:textFill>
        </w:rPr>
        <w:t>万元，支出决算为</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0</w:t>
      </w:r>
      <w:r>
        <w:rPr>
          <w:rFonts w:ascii="Times New Roman" w:hAnsi="Times New Roman" w:eastAsia="仿宋_GB2312" w:cs="Times New Roman"/>
          <w:color w:val="000000" w:themeColor="text1"/>
          <w:sz w:val="32"/>
          <w:szCs w:val="32"/>
          <w14:textFill>
            <w14:solidFill>
              <w14:schemeClr w14:val="tx1"/>
            </w14:solidFill>
          </w14:textFill>
        </w:rPr>
        <w:t>万元，</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决算数等于预算数</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，主要原因是我单位严格按预算执行决算</w:t>
      </w:r>
      <w:r>
        <w:rPr>
          <w:rFonts w:ascii="Times New Roman" w:hAnsi="Times New Roman" w:eastAsia="仿宋_GB2312" w:cs="Times New Roman"/>
          <w:color w:val="000000" w:themeColor="text1"/>
          <w:sz w:val="32"/>
          <w:szCs w:val="32"/>
          <w14:textFill>
            <w14:solidFill>
              <w14:schemeClr w14:val="tx1"/>
            </w14:solidFill>
          </w14:textFill>
        </w:rPr>
        <w:t>；</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与上年一致，无增减变动，主要原因是未安排因公出国（境）活动。</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2025年</w:t>
      </w:r>
      <w:r>
        <w:rPr>
          <w:rFonts w:ascii="Times New Roman" w:hAnsi="Times New Roman" w:eastAsia="仿宋_GB2312" w:cs="Times New Roman"/>
          <w:color w:val="000000" w:themeColor="text1"/>
          <w:sz w:val="32"/>
          <w:szCs w:val="32"/>
          <w14:textFill>
            <w14:solidFill>
              <w14:schemeClr w14:val="tx1"/>
            </w14:solidFill>
          </w14:textFill>
        </w:rPr>
        <w:t>度安排因公出国（境）团组</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0</w:t>
      </w:r>
      <w:r>
        <w:rPr>
          <w:rFonts w:ascii="Times New Roman" w:hAnsi="Times New Roman" w:eastAsia="仿宋_GB2312" w:cs="Times New Roman"/>
          <w:color w:val="000000" w:themeColor="text1"/>
          <w:sz w:val="32"/>
          <w:szCs w:val="32"/>
          <w14:textFill>
            <w14:solidFill>
              <w14:schemeClr w14:val="tx1"/>
            </w14:solidFill>
          </w14:textFill>
        </w:rPr>
        <w:t>个，累计</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0</w:t>
      </w:r>
      <w:r>
        <w:rPr>
          <w:rFonts w:ascii="Times New Roman" w:hAnsi="Times New Roman" w:eastAsia="仿宋_GB2312" w:cs="Times New Roman"/>
          <w:color w:val="000000" w:themeColor="text1"/>
          <w:sz w:val="32"/>
          <w:szCs w:val="32"/>
          <w14:textFill>
            <w14:solidFill>
              <w14:schemeClr w14:val="tx1"/>
            </w14:solidFill>
          </w14:textFill>
        </w:rPr>
        <w:t>人次</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p>
    <w:p w14:paraId="7BE400AB">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63</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63</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5.25</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7.7</w:t>
      </w:r>
      <w:r>
        <w:rPr>
          <w:rFonts w:ascii="Times New Roman" w:hAnsi="Times New Roman" w:eastAsia="仿宋_GB2312" w:cs="Times New Roman"/>
          <w:sz w:val="32"/>
          <w:szCs w:val="32"/>
        </w:rPr>
        <w:t>%。其中：</w:t>
      </w:r>
    </w:p>
    <w:p w14:paraId="2C732CDA">
      <w:pPr>
        <w:pStyle w:val="13"/>
        <w:overflowPunct w:val="0"/>
        <w:autoSpaceDE/>
        <w:autoSpaceDN/>
        <w:spacing w:line="600" w:lineRule="exact"/>
        <w:ind w:firstLine="640" w:firstLineChars="200"/>
        <w:jc w:val="both"/>
        <w:rPr>
          <w:rFonts w:hint="eastAsia" w:ascii="Times New Roman" w:hAnsi="Times New Roman" w:eastAsia="仿宋_GB2312" w:cs="Times New Roman"/>
          <w:color w:val="FF0000"/>
          <w:sz w:val="32"/>
          <w:szCs w:val="32"/>
          <w:lang w:val="en-US" w:eastAsia="zh-CN"/>
        </w:rPr>
      </w:pPr>
      <w:r>
        <w:rPr>
          <w:rFonts w:ascii="Times New Roman" w:hAnsi="Times New Roman" w:eastAsia="仿宋_GB2312" w:cs="Times New Roman"/>
          <w:color w:val="000000" w:themeColor="text1"/>
          <w:sz w:val="32"/>
          <w:szCs w:val="32"/>
          <w14:textFill>
            <w14:solidFill>
              <w14:schemeClr w14:val="tx1"/>
            </w14:solidFill>
          </w14:textFill>
        </w:rPr>
        <w:t>公务用车购置费支出预算为</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0</w:t>
      </w:r>
      <w:r>
        <w:rPr>
          <w:rFonts w:ascii="Times New Roman" w:hAnsi="Times New Roman" w:eastAsia="仿宋_GB2312" w:cs="Times New Roman"/>
          <w:color w:val="000000" w:themeColor="text1"/>
          <w:sz w:val="32"/>
          <w:szCs w:val="32"/>
          <w14:textFill>
            <w14:solidFill>
              <w14:schemeClr w14:val="tx1"/>
            </w14:solidFill>
          </w14:textFill>
        </w:rPr>
        <w:t>万元，支出决算为</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0</w:t>
      </w:r>
      <w:r>
        <w:rPr>
          <w:rFonts w:ascii="Times New Roman" w:hAnsi="Times New Roman" w:eastAsia="仿宋_GB2312" w:cs="Times New Roman"/>
          <w:color w:val="000000" w:themeColor="text1"/>
          <w:sz w:val="32"/>
          <w:szCs w:val="32"/>
          <w14:textFill>
            <w14:solidFill>
              <w14:schemeClr w14:val="tx1"/>
            </w14:solidFill>
          </w14:textFill>
        </w:rPr>
        <w:t>万元，</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决算数等于预算数，主要原因是我单位严格按预算执行决算</w:t>
      </w:r>
      <w:r>
        <w:rPr>
          <w:rFonts w:ascii="Times New Roman" w:hAnsi="Times New Roman" w:eastAsia="仿宋_GB2312" w:cs="Times New Roman"/>
          <w:color w:val="000000" w:themeColor="text1"/>
          <w:sz w:val="32"/>
          <w:szCs w:val="32"/>
          <w14:textFill>
            <w14:solidFill>
              <w14:schemeClr w14:val="tx1"/>
            </w14:solidFill>
          </w14:textFill>
        </w:rPr>
        <w:t>；</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与上年一致，无增减变动，主要原因是两年均未购置公务用车。本单位</w:t>
      </w:r>
      <w:r>
        <w:rPr>
          <w:rFonts w:ascii="Times New Roman" w:hAnsi="Times New Roman" w:eastAsia="仿宋_GB2312" w:cs="Times New Roman"/>
          <w:color w:val="000000" w:themeColor="text1"/>
          <w:sz w:val="32"/>
          <w:szCs w:val="32"/>
          <w14:textFill>
            <w14:solidFill>
              <w14:schemeClr w14:val="tx1"/>
            </w14:solidFill>
          </w14:textFill>
        </w:rPr>
        <w:t>更新公务用车</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0</w:t>
      </w:r>
      <w:r>
        <w:rPr>
          <w:rFonts w:ascii="Times New Roman" w:hAnsi="Times New Roman" w:eastAsia="仿宋_GB2312" w:cs="Times New Roman"/>
          <w:color w:val="000000" w:themeColor="text1"/>
          <w:sz w:val="32"/>
          <w:szCs w:val="32"/>
          <w14:textFill>
            <w14:solidFill>
              <w14:schemeClr w14:val="tx1"/>
            </w14:solidFill>
          </w14:textFill>
        </w:rPr>
        <w:t>辆</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w:t>
      </w:r>
    </w:p>
    <w:p w14:paraId="5B2CD240">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lang w:val="en-US" w:eastAsia="zh-CN"/>
        </w:rPr>
        <w:t>63</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63</w:t>
      </w:r>
      <w:r>
        <w:rPr>
          <w:rFonts w:ascii="Times New Roman" w:hAnsi="Times New Roman" w:eastAsia="仿宋_GB2312" w:cs="Times New Roman"/>
          <w:sz w:val="32"/>
          <w:szCs w:val="32"/>
        </w:rPr>
        <w:t>万元，</w:t>
      </w:r>
    </w:p>
    <w:p w14:paraId="72067217">
      <w:pPr>
        <w:pStyle w:val="13"/>
        <w:overflowPunct w:val="0"/>
        <w:autoSpaceDE/>
        <w:autoSpaceDN/>
        <w:spacing w:line="600" w:lineRule="exact"/>
        <w:ind w:firstLine="640" w:firstLineChars="200"/>
        <w:jc w:val="both"/>
        <w:rPr>
          <w:rFonts w:ascii="Times New Roman" w:hAnsi="Times New Roman" w:eastAsia="楷体" w:cs="Times New Roman"/>
          <w:b/>
          <w:bCs/>
          <w:i/>
          <w:color w:val="FF0000"/>
          <w:sz w:val="32"/>
          <w:szCs w:val="32"/>
        </w:rPr>
      </w:pPr>
      <w:r>
        <w:rPr>
          <w:rFonts w:ascii="Times New Roman" w:hAnsi="Times New Roman" w:eastAsia="仿宋_GB2312" w:cs="Times New Roman"/>
          <w:sz w:val="32"/>
          <w:szCs w:val="32"/>
        </w:rPr>
        <w:t>主要是</w:t>
      </w:r>
      <w:r>
        <w:rPr>
          <w:rFonts w:hint="eastAsia" w:ascii="仿宋_GB2312" w:hAnsi="仿宋_GB2312" w:eastAsia="仿宋_GB2312" w:cs="仿宋_GB2312"/>
          <w:sz w:val="32"/>
          <w:szCs w:val="32"/>
          <w:lang w:val="en-US" w:eastAsia="zh-CN"/>
        </w:rPr>
        <w:t>车辆油费，过路费，维修费等</w:t>
      </w:r>
      <w:r>
        <w:rPr>
          <w:rFonts w:ascii="Times New Roman" w:hAnsi="Times New Roman" w:eastAsia="仿宋_GB2312" w:cs="Times New Roman"/>
          <w:sz w:val="32"/>
          <w:szCs w:val="32"/>
        </w:rPr>
        <w:t>支出，完成预算的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5.25</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7.7</w:t>
      </w:r>
      <w:r>
        <w:rPr>
          <w:rFonts w:ascii="Times New Roman" w:hAnsi="Times New Roman" w:eastAsia="仿宋_GB2312" w:cs="Times New Roman"/>
          <w:sz w:val="32"/>
          <w:szCs w:val="32"/>
        </w:rPr>
        <w:t>%。</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决算数等于预算数，主要原因是我单位严格按预算执行决算</w:t>
      </w:r>
      <w:r>
        <w:rPr>
          <w:rFonts w:ascii="Times New Roman" w:hAnsi="Times New Roman" w:eastAsia="仿宋_GB2312" w:cs="Times New Roman"/>
          <w:sz w:val="32"/>
          <w:szCs w:val="32"/>
        </w:rPr>
        <w:t>。决算数小于上年数的主要原因是</w:t>
      </w:r>
      <w:r>
        <w:rPr>
          <w:rFonts w:hint="eastAsia" w:ascii="仿宋_GB2312" w:hAnsi="仿宋_GB2312" w:eastAsia="仿宋_GB2312" w:cs="仿宋_GB2312"/>
          <w:sz w:val="32"/>
          <w:szCs w:val="32"/>
          <w:lang w:eastAsia="zh-CN"/>
        </w:rPr>
        <w:t>我单位严格落实厉行节约相关政策要求，从严管控公务用车等各项三公经费开支，强化事前审核，压减非必要公务活动，实际支出较</w:t>
      </w:r>
      <w:r>
        <w:rPr>
          <w:rFonts w:hint="eastAsia" w:ascii="仿宋_GB2312" w:hAnsi="仿宋_GB2312" w:eastAsia="仿宋_GB2312" w:cs="仿宋_GB2312"/>
          <w:sz w:val="32"/>
          <w:szCs w:val="32"/>
          <w:lang w:val="en-US" w:eastAsia="zh-CN"/>
        </w:rPr>
        <w:t>上年</w:t>
      </w:r>
      <w:r>
        <w:rPr>
          <w:rFonts w:hint="eastAsia" w:ascii="仿宋_GB2312" w:hAnsi="仿宋_GB2312" w:eastAsia="仿宋_GB2312" w:cs="仿宋_GB2312"/>
          <w:sz w:val="32"/>
          <w:szCs w:val="32"/>
          <w:lang w:eastAsia="zh-CN"/>
        </w:rPr>
        <w:t>有所节约</w:t>
      </w:r>
      <w:r>
        <w:rPr>
          <w:rFonts w:ascii="Times New Roman" w:hAnsi="Times New Roman" w:eastAsia="仿宋_GB2312" w:cs="Times New Roman"/>
          <w:sz w:val="32"/>
          <w:szCs w:val="32"/>
        </w:rPr>
        <w:t>。</w:t>
      </w:r>
      <w:r>
        <w:rPr>
          <w:rFonts w:ascii="Times New Roman" w:hAnsi="Times New Roman" w:eastAsia="仿宋_GB2312" w:cs="Times New Roman"/>
          <w:sz w:val="32"/>
          <w:szCs w:val="32"/>
          <w:highlight w:val="none"/>
        </w:rPr>
        <w:t>截止</w:t>
      </w:r>
      <w:r>
        <w:rPr>
          <w:rFonts w:hint="eastAsia" w:ascii="Times New Roman" w:hAnsi="Times New Roman" w:eastAsia="仿宋_GB2312" w:cs="Times New Roman"/>
          <w:sz w:val="32"/>
          <w:szCs w:val="32"/>
          <w:highlight w:val="none"/>
          <w:lang w:eastAsia="zh-CN"/>
        </w:rPr>
        <w:t>到</w:t>
      </w: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12月31日，我单位开支财政拨款的公务用车保有量为</w:t>
      </w:r>
      <w:r>
        <w:rPr>
          <w:rFonts w:hint="eastAsia" w:ascii="Times New Roman" w:hAnsi="Times New Roman" w:eastAsia="仿宋_GB2312" w:cs="Times New Roman"/>
          <w:color w:val="000000" w:themeColor="text1"/>
          <w:sz w:val="32"/>
          <w:szCs w:val="32"/>
          <w:lang w:val="en-US" w:eastAsia="zh-CN"/>
          <w14:textFill>
            <w14:solidFill>
              <w14:schemeClr w14:val="tx1"/>
            </w14:solidFill>
          </w14:textFill>
        </w:rPr>
        <w:t>21</w:t>
      </w:r>
      <w:r>
        <w:rPr>
          <w:rFonts w:ascii="Times New Roman" w:hAnsi="Times New Roman" w:eastAsia="仿宋_GB2312" w:cs="Times New Roman"/>
          <w:sz w:val="32"/>
          <w:szCs w:val="32"/>
        </w:rPr>
        <w:t>辆。</w:t>
      </w:r>
    </w:p>
    <w:p w14:paraId="21DEB99E">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b/>
          <w:color w:val="auto"/>
          <w:sz w:val="32"/>
          <w:szCs w:val="32"/>
          <w:lang w:eastAsia="zh-CN"/>
        </w:rPr>
      </w:pP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公务接待费支出预算为</w:t>
      </w:r>
      <w:r>
        <w:rPr>
          <w:rFonts w:hint="eastAsia" w:ascii="Times New Roman" w:hAnsi="Times New Roman" w:eastAsia="仿宋_GB2312" w:cs="Times New Roman"/>
          <w:sz w:val="32"/>
          <w:szCs w:val="32"/>
          <w:lang w:val="en-US" w:eastAsia="zh-CN"/>
        </w:rPr>
        <w:t>0.48</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0.48</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%；与上年相比增加</w:t>
      </w:r>
      <w:r>
        <w:rPr>
          <w:rFonts w:hint="eastAsia" w:ascii="Times New Roman" w:hAnsi="Times New Roman" w:eastAsia="仿宋_GB2312" w:cs="Times New Roman"/>
          <w:sz w:val="32"/>
          <w:szCs w:val="32"/>
          <w:lang w:val="en-US" w:eastAsia="zh-CN"/>
        </w:rPr>
        <w:t>0.15</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45.45</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等于</w:t>
      </w:r>
      <w:r>
        <w:rPr>
          <w:rFonts w:ascii="Times New Roman" w:hAnsi="Times New Roman" w:eastAsia="仿宋_GB2312" w:cs="Times New Roman"/>
          <w:sz w:val="32"/>
          <w:szCs w:val="32"/>
        </w:rPr>
        <w:t>预算数的主要原因</w:t>
      </w:r>
      <w:r>
        <w:rPr>
          <w:rFonts w:hint="eastAsia" w:ascii="仿宋_GB2312" w:hAnsi="仿宋_GB2312" w:eastAsia="仿宋_GB2312" w:cs="仿宋_GB2312"/>
          <w:sz w:val="32"/>
          <w:szCs w:val="32"/>
          <w:lang w:val="en-US" w:eastAsia="zh-CN"/>
        </w:rPr>
        <w:t>是我单位支出未超预算，严格按预算执行。</w:t>
      </w:r>
      <w:r>
        <w:rPr>
          <w:rFonts w:ascii="Times New Roman" w:hAnsi="Times New Roman" w:eastAsia="仿宋_GB2312" w:cs="Times New Roman"/>
          <w:sz w:val="32"/>
          <w:szCs w:val="32"/>
        </w:rPr>
        <w:t>决算</w:t>
      </w:r>
      <w:bookmarkStart w:id="0" w:name="_GoBack"/>
      <w:bookmarkEnd w:id="0"/>
      <w:r>
        <w:rPr>
          <w:rFonts w:ascii="Times New Roman" w:hAnsi="Times New Roman" w:eastAsia="仿宋_GB2312" w:cs="Times New Roman"/>
          <w:sz w:val="32"/>
          <w:szCs w:val="32"/>
        </w:rPr>
        <w:t>数大于上年数的主要原因是</w:t>
      </w:r>
      <w:r>
        <w:rPr>
          <w:rFonts w:hint="eastAsia" w:ascii="Times New Roman" w:hAnsi="Times New Roman" w:eastAsia="仿宋_GB2312" w:cs="Times New Roman"/>
          <w:sz w:val="32"/>
          <w:szCs w:val="32"/>
          <w:lang w:val="en-US" w:eastAsia="zh-CN"/>
        </w:rPr>
        <w:t>2025年度接待费决算中包含2024年9-12月应付未付的公务接待款项。</w:t>
      </w: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度共接待来访团组</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个、来宾</w:t>
      </w:r>
      <w:r>
        <w:rPr>
          <w:rFonts w:hint="eastAsia" w:ascii="Times New Roman" w:hAnsi="Times New Roman" w:eastAsia="仿宋_GB2312" w:cs="Times New Roman"/>
          <w:sz w:val="32"/>
          <w:szCs w:val="32"/>
          <w:lang w:val="en-US" w:eastAsia="zh-CN"/>
        </w:rPr>
        <w:t>26</w:t>
      </w:r>
      <w:r>
        <w:rPr>
          <w:rFonts w:ascii="Times New Roman" w:hAnsi="Times New Roman" w:eastAsia="仿宋_GB2312" w:cs="Times New Roman"/>
          <w:sz w:val="32"/>
          <w:szCs w:val="32"/>
        </w:rPr>
        <w:t>人次，主要是</w:t>
      </w:r>
      <w:r>
        <w:rPr>
          <w:rFonts w:hint="eastAsia" w:ascii="Times New Roman" w:hAnsi="Times New Roman" w:eastAsia="仿宋_GB2312" w:cs="Times New Roman"/>
          <w:sz w:val="32"/>
          <w:szCs w:val="32"/>
        </w:rPr>
        <w:t>省公路事务中心、邢台市公路建设和养护中心、湘西自治州公路建设和养护中心等单位，用于开展业务交流、考察调研</w:t>
      </w:r>
      <w:r>
        <w:rPr>
          <w:rFonts w:ascii="Times New Roman" w:hAnsi="Times New Roman" w:eastAsia="仿宋_GB2312" w:cs="Times New Roman"/>
          <w:sz w:val="32"/>
          <w:szCs w:val="32"/>
        </w:rPr>
        <w:t>发生的接待支出。</w:t>
      </w:r>
    </w:p>
    <w:p w14:paraId="22480367">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b/>
          <w:color w:val="auto"/>
          <w:sz w:val="32"/>
          <w:szCs w:val="32"/>
        </w:rPr>
      </w:pPr>
      <w:r>
        <w:rPr>
          <w:rFonts w:hint="eastAsia" w:ascii="Times New Roman" w:hAnsi="Times New Roman" w:eastAsia="仿宋_GB2312"/>
          <w:b/>
          <w:color w:val="auto"/>
          <w:sz w:val="32"/>
          <w:szCs w:val="32"/>
          <w:lang w:eastAsia="zh-CN"/>
        </w:rPr>
        <w:t>十</w:t>
      </w:r>
      <w:r>
        <w:rPr>
          <w:rFonts w:hint="eastAsia" w:ascii="Times New Roman" w:hAnsi="Times New Roman" w:eastAsia="仿宋_GB2312"/>
          <w:b/>
          <w:color w:val="auto"/>
          <w:sz w:val="32"/>
          <w:szCs w:val="32"/>
        </w:rPr>
        <w:t>、关于机关运行经费支出说明</w:t>
      </w:r>
    </w:p>
    <w:p w14:paraId="5A7AD664">
      <w:pPr>
        <w:pStyle w:val="13"/>
        <w:ind w:firstLine="640" w:firstLineChars="200"/>
        <w:rPr>
          <w:rFonts w:ascii="Times New Roman" w:hAnsi="Times New Roman" w:eastAsia="仿宋_GB2312"/>
          <w:sz w:val="32"/>
          <w:szCs w:val="32"/>
        </w:rPr>
      </w:pPr>
      <w:r>
        <w:rPr>
          <w:rFonts w:hint="eastAsia" w:ascii="仿宋_GB2312" w:hAnsi="仿宋_GB2312" w:eastAsia="仿宋_GB2312" w:cs="仿宋_GB2312"/>
          <w:sz w:val="32"/>
          <w:szCs w:val="32"/>
        </w:rPr>
        <w:t>本部门</w:t>
      </w: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rPr>
        <w:t>度机关运行经费支出</w:t>
      </w:r>
      <w:r>
        <w:rPr>
          <w:rFonts w:hint="eastAsia" w:ascii="仿宋_GB2312" w:hAnsi="仿宋_GB2312" w:eastAsia="仿宋_GB2312" w:cs="仿宋_GB2312"/>
          <w:sz w:val="32"/>
          <w:szCs w:val="32"/>
          <w:lang w:val="en-US" w:eastAsia="zh-CN"/>
        </w:rPr>
        <w:t>768.89</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highlight w:val="none"/>
        </w:rPr>
        <w:t>比上年决算数减少</w:t>
      </w:r>
      <w:r>
        <w:rPr>
          <w:rFonts w:hint="eastAsia" w:ascii="仿宋_GB2312" w:hAnsi="仿宋_GB2312" w:eastAsia="仿宋_GB2312" w:cs="仿宋_GB2312"/>
          <w:sz w:val="32"/>
          <w:szCs w:val="32"/>
          <w:highlight w:val="none"/>
          <w:lang w:val="en-US" w:eastAsia="zh-CN"/>
        </w:rPr>
        <w:t>43.92</w:t>
      </w:r>
      <w:r>
        <w:rPr>
          <w:rFonts w:hint="eastAsia" w:ascii="仿宋_GB2312" w:hAnsi="仿宋_GB2312" w:eastAsia="仿宋_GB2312" w:cs="仿宋_GB2312"/>
          <w:sz w:val="32"/>
          <w:szCs w:val="32"/>
          <w:highlight w:val="none"/>
        </w:rPr>
        <w:t>万元，降低</w:t>
      </w:r>
      <w:r>
        <w:rPr>
          <w:rFonts w:hint="eastAsia" w:ascii="仿宋_GB2312" w:hAnsi="仿宋_GB2312" w:eastAsia="仿宋_GB2312" w:cs="仿宋_GB2312"/>
          <w:sz w:val="32"/>
          <w:szCs w:val="32"/>
          <w:highlight w:val="none"/>
          <w:lang w:val="en-US" w:eastAsia="zh-CN"/>
        </w:rPr>
        <w:t>5.4</w:t>
      </w:r>
      <w:r>
        <w:rPr>
          <w:rFonts w:hint="eastAsia" w:ascii="仿宋_GB2312" w:hAnsi="仿宋_GB2312" w:eastAsia="仿宋_GB2312" w:cs="仿宋_GB2312"/>
          <w:sz w:val="32"/>
          <w:szCs w:val="32"/>
          <w:highlight w:val="none"/>
        </w:rPr>
        <w:t>%。主要原因是：我单位严格贯彻落实过紧日子要求，厉行勤俭节约，从严压减一般性、非刚性支出，优化机关运转开支结构，严控办公耗材、公务运维等费用支出，进一步节约行政运行成本，机关运行经费支出较上年有所下降。</w:t>
      </w:r>
    </w:p>
    <w:p w14:paraId="49AD6D9E">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十</w:t>
      </w:r>
      <w:r>
        <w:rPr>
          <w:rFonts w:hint="eastAsia" w:hAnsi="黑体" w:cs="黑体"/>
          <w:b w:val="0"/>
          <w:bCs/>
          <w:sz w:val="32"/>
          <w:szCs w:val="32"/>
          <w:lang w:eastAsia="zh-CN"/>
        </w:rPr>
        <w:t>一</w:t>
      </w:r>
      <w:r>
        <w:rPr>
          <w:rFonts w:hint="eastAsia" w:ascii="黑体" w:hAnsi="黑体" w:eastAsia="黑体" w:cs="黑体"/>
          <w:b w:val="0"/>
          <w:bCs/>
          <w:sz w:val="32"/>
          <w:szCs w:val="32"/>
        </w:rPr>
        <w:t>、一般性支出情况说明</w:t>
      </w:r>
    </w:p>
    <w:p w14:paraId="45A74575">
      <w:pPr>
        <w:pStyle w:val="13"/>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lang w:val="en-US" w:eastAsia="zh-CN"/>
        </w:rPr>
        <w:t>年度，会议费年初预算15万元，支出决算为2.16万元，完成年初预算的14.4%。用于召开公路大讲堂会议，</w:t>
      </w:r>
      <w:r>
        <w:rPr>
          <w:rFonts w:hint="eastAsia" w:ascii="仿宋_GB2312" w:hAnsi="仿宋_GB2312" w:eastAsia="仿宋_GB2312" w:cs="仿宋_GB2312"/>
          <w:sz w:val="32"/>
          <w:szCs w:val="32"/>
        </w:rPr>
        <w:t>人数</w:t>
      </w:r>
      <w:r>
        <w:rPr>
          <w:rFonts w:hint="eastAsia" w:ascii="仿宋_GB2312" w:hAnsi="仿宋_GB2312" w:eastAsia="仿宋_GB2312" w:cs="仿宋_GB2312"/>
          <w:sz w:val="32"/>
          <w:szCs w:val="32"/>
          <w:lang w:val="en-US" w:eastAsia="zh-CN"/>
        </w:rPr>
        <w:t>67</w:t>
      </w:r>
      <w:r>
        <w:rPr>
          <w:rFonts w:hint="eastAsia" w:ascii="仿宋_GB2312" w:hAnsi="仿宋_GB2312" w:eastAsia="仿宋_GB2312" w:cs="仿宋_GB2312"/>
          <w:sz w:val="32"/>
          <w:szCs w:val="32"/>
        </w:rPr>
        <w:t>人，内容为</w:t>
      </w:r>
      <w:r>
        <w:rPr>
          <w:rFonts w:hint="eastAsia" w:ascii="仿宋_GB2312" w:hAnsi="仿宋_GB2312" w:eastAsia="仿宋_GB2312" w:cs="仿宋_GB2312"/>
          <w:sz w:val="32"/>
          <w:szCs w:val="32"/>
          <w:lang w:val="en-US" w:eastAsia="zh-CN"/>
        </w:rPr>
        <w:t>市直机关工委“送课下基层”走进岳阳公路深入学习中央八项规定精神</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召开法治思想筑基公路网会议，人数70人，内容为从理论、历史、实践三个维度，系统阐释了法治在中国式现代化进程中的基石作用。召开公路安全生产例会会议，</w:t>
      </w:r>
      <w:r>
        <w:rPr>
          <w:rFonts w:hint="eastAsia" w:ascii="仿宋_GB2312" w:hAnsi="仿宋_GB2312" w:eastAsia="仿宋_GB2312" w:cs="仿宋_GB2312"/>
          <w:sz w:val="32"/>
          <w:szCs w:val="32"/>
        </w:rPr>
        <w:t>人数</w:t>
      </w:r>
      <w:r>
        <w:rPr>
          <w:rFonts w:hint="eastAsia" w:ascii="仿宋_GB2312" w:hAnsi="仿宋_GB2312" w:eastAsia="仿宋_GB2312" w:cs="仿宋_GB2312"/>
          <w:sz w:val="32"/>
          <w:szCs w:val="32"/>
          <w:lang w:val="en-US" w:eastAsia="zh-CN"/>
        </w:rPr>
        <w:t>78</w:t>
      </w:r>
      <w:r>
        <w:rPr>
          <w:rFonts w:hint="eastAsia" w:ascii="仿宋_GB2312" w:hAnsi="仿宋_GB2312" w:eastAsia="仿宋_GB2312" w:cs="仿宋_GB2312"/>
          <w:sz w:val="32"/>
          <w:szCs w:val="32"/>
        </w:rPr>
        <w:t>人，内容为</w:t>
      </w:r>
      <w:r>
        <w:rPr>
          <w:rFonts w:hint="eastAsia" w:ascii="仿宋_GB2312" w:hAnsi="仿宋_GB2312" w:eastAsia="仿宋_GB2312" w:cs="仿宋_GB2312"/>
          <w:sz w:val="32"/>
          <w:szCs w:val="32"/>
          <w:lang w:val="en-US" w:eastAsia="zh-CN"/>
        </w:rPr>
        <w:t>部署2025年“十四五”国省干线公路养护管理评价工作，安排部署安全生产工作，统筹推进“双线作战”，聚焦重点“攻坚克难”，强化督导“确保实效”全力以赴抓好各项工作</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召开八一建军节座谈会议，</w:t>
      </w:r>
      <w:r>
        <w:rPr>
          <w:rFonts w:hint="eastAsia" w:ascii="仿宋_GB2312" w:hAnsi="仿宋_GB2312" w:eastAsia="仿宋_GB2312" w:cs="仿宋_GB2312"/>
          <w:sz w:val="32"/>
          <w:szCs w:val="32"/>
        </w:rPr>
        <w:t>人数</w:t>
      </w:r>
      <w:r>
        <w:rPr>
          <w:rFonts w:hint="eastAsia" w:ascii="仿宋_GB2312" w:hAnsi="仿宋_GB2312" w:eastAsia="仿宋_GB2312" w:cs="仿宋_GB2312"/>
          <w:sz w:val="32"/>
          <w:szCs w:val="32"/>
          <w:lang w:val="en-US" w:eastAsia="zh-CN"/>
        </w:rPr>
        <w:t>28</w:t>
      </w:r>
      <w:r>
        <w:rPr>
          <w:rFonts w:hint="eastAsia" w:ascii="仿宋_GB2312" w:hAnsi="仿宋_GB2312" w:eastAsia="仿宋_GB2312" w:cs="仿宋_GB2312"/>
          <w:sz w:val="32"/>
          <w:szCs w:val="32"/>
        </w:rPr>
        <w:t>人，内容为</w:t>
      </w:r>
      <w:r>
        <w:rPr>
          <w:rFonts w:hint="eastAsia" w:ascii="仿宋_GB2312" w:hAnsi="仿宋_GB2312" w:eastAsia="仿宋_GB2312" w:cs="仿宋_GB2312"/>
          <w:sz w:val="32"/>
          <w:szCs w:val="32"/>
          <w:lang w:val="en-US" w:eastAsia="zh-CN"/>
        </w:rPr>
        <w:t>慰问退役军人及均属的慰问以及向退役军人为公路事业做出的贡献表示感谢</w:t>
      </w:r>
      <w:r>
        <w:rPr>
          <w:rFonts w:hint="eastAsia" w:ascii="仿宋_GB2312" w:hAnsi="仿宋_GB2312" w:eastAsia="仿宋_GB2312" w:cs="仿宋_GB2312"/>
          <w:sz w:val="32"/>
          <w:szCs w:val="32"/>
          <w:lang w:eastAsia="zh-CN"/>
        </w:rPr>
        <w:t>。</w:t>
      </w:r>
    </w:p>
    <w:p w14:paraId="45797B32">
      <w:pPr>
        <w:widowControl w:val="0"/>
        <w:autoSpaceDE w:val="0"/>
        <w:autoSpaceDN w:val="0"/>
        <w:adjustRightInd w:val="0"/>
        <w:ind w:firstLine="640" w:firstLineChars="200"/>
        <w:rPr>
          <w:rFonts w:hint="eastAsia" w:ascii="仿宋_GB2312" w:hAnsi="仿宋_GB2312" w:eastAsia="仿宋_GB2312" w:cs="仿宋_GB2312"/>
          <w:color w:val="000000"/>
          <w:kern w:val="0"/>
          <w:sz w:val="32"/>
          <w:szCs w:val="32"/>
          <w:lang w:val="en-US" w:eastAsia="zh-CN" w:bidi="ar-SA"/>
        </w:rPr>
      </w:pPr>
      <w:r>
        <w:rPr>
          <w:rFonts w:hint="eastAsia" w:ascii="仿宋_GB2312" w:hAnsi="仿宋_GB2312" w:eastAsia="仿宋_GB2312" w:cs="仿宋_GB2312"/>
          <w:color w:val="000000"/>
          <w:kern w:val="0"/>
          <w:sz w:val="32"/>
          <w:szCs w:val="32"/>
          <w:lang w:val="en-US" w:eastAsia="zh-CN" w:bidi="ar-SA"/>
        </w:rPr>
        <w:t>培训费年初预算10万元，支出决算为6.75万元，完成年初预算的67.5%。用于开展消防安全培训，人数70人，内容为围绕消防安全基本知识、消防法规基本常识、火灾预防与扑救、火灾现场逃生自救等方面，对火灾发生原因及应急方法进行了全面剖析；开展事业单位人员继续教育培训，人数254人，内容为政策法规解读、业务技能提升、职业道德教育等，通过系统化学习，进一步夯实工作人员业务理论基础，提升履职尽责综合素养。</w:t>
      </w:r>
    </w:p>
    <w:p w14:paraId="190A9C5A">
      <w:pPr>
        <w:widowControl w:val="0"/>
        <w:autoSpaceDE w:val="0"/>
        <w:autoSpaceDN w:val="0"/>
        <w:adjustRightInd w:val="0"/>
        <w:ind w:firstLine="640" w:firstLineChars="200"/>
        <w:rPr>
          <w:rFonts w:hint="eastAsia" w:ascii="仿宋_GB2312" w:hAnsi="仿宋_GB2312" w:eastAsia="仿宋_GB2312" w:cs="仿宋_GB2312"/>
          <w:b/>
          <w:bCs/>
          <w:i/>
          <w:color w:val="FF0000"/>
          <w:kern w:val="0"/>
          <w:sz w:val="32"/>
          <w:szCs w:val="32"/>
          <w:highlight w:val="yellow"/>
          <w:lang w:val="en-US" w:eastAsia="zh-CN" w:bidi="ar-SA"/>
        </w:rPr>
      </w:pPr>
      <w:r>
        <w:rPr>
          <w:rFonts w:hint="eastAsia" w:ascii="仿宋_GB2312" w:hAnsi="仿宋_GB2312" w:eastAsia="仿宋_GB2312" w:cs="仿宋_GB2312"/>
          <w:color w:val="000000"/>
          <w:kern w:val="0"/>
          <w:sz w:val="32"/>
          <w:szCs w:val="32"/>
          <w:lang w:val="en-US" w:eastAsia="zh-CN" w:bidi="ar-SA"/>
        </w:rPr>
        <w:t>举办节庆、晚会、论坛、赛事活动年初预算0万元，支出决算为0万元，本单位无举办节庆、晚会、论坛、赛事等活动的预算和支出决算数。</w:t>
      </w:r>
    </w:p>
    <w:p w14:paraId="03BE337B">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十</w:t>
      </w:r>
      <w:r>
        <w:rPr>
          <w:rFonts w:hint="eastAsia" w:hAnsi="黑体" w:cs="黑体"/>
          <w:b w:val="0"/>
          <w:bCs/>
          <w:sz w:val="32"/>
          <w:szCs w:val="32"/>
          <w:lang w:eastAsia="zh-CN"/>
        </w:rPr>
        <w:t>二</w:t>
      </w:r>
      <w:r>
        <w:rPr>
          <w:rFonts w:hint="eastAsia" w:ascii="黑体" w:hAnsi="黑体" w:eastAsia="黑体" w:cs="黑体"/>
          <w:b w:val="0"/>
          <w:bCs/>
          <w:sz w:val="32"/>
          <w:szCs w:val="32"/>
        </w:rPr>
        <w:t>、关于政府采购支出说明</w:t>
      </w:r>
    </w:p>
    <w:p w14:paraId="04CD9DA3">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宋体" w:hAnsi="宋体" w:eastAsia="宋体"/>
          <w:i/>
          <w:color w:val="FF0000"/>
          <w:sz w:val="32"/>
          <w:szCs w:val="32"/>
          <w:lang w:val="en-US" w:eastAsia="zh-CN"/>
        </w:rPr>
      </w:pPr>
      <w:r>
        <w:rPr>
          <w:rFonts w:hint="eastAsia" w:ascii="仿宋_GB2312" w:hAnsi="仿宋_GB2312" w:eastAsia="仿宋_GB2312" w:cs="仿宋_GB2312"/>
          <w:sz w:val="32"/>
          <w:szCs w:val="32"/>
        </w:rPr>
        <w:t>本部门</w:t>
      </w: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rPr>
        <w:t>度政府采购支出总额</w:t>
      </w:r>
      <w:r>
        <w:rPr>
          <w:rFonts w:hint="eastAsia" w:ascii="仿宋_GB2312" w:hAnsi="仿宋_GB2312" w:eastAsia="仿宋_GB2312" w:cs="仿宋_GB2312"/>
          <w:sz w:val="32"/>
          <w:szCs w:val="32"/>
          <w:lang w:val="en-US" w:eastAsia="zh-CN"/>
        </w:rPr>
        <w:t>342.36</w:t>
      </w:r>
      <w:r>
        <w:rPr>
          <w:rFonts w:hint="eastAsia" w:ascii="仿宋_GB2312" w:hAnsi="仿宋_GB2312" w:eastAsia="仿宋_GB2312" w:cs="仿宋_GB2312"/>
          <w:sz w:val="32"/>
          <w:szCs w:val="32"/>
        </w:rPr>
        <w:t>万元，其中：政府采购货物支出</w:t>
      </w:r>
      <w:r>
        <w:rPr>
          <w:rFonts w:hint="eastAsia" w:ascii="仿宋_GB2312" w:hAnsi="仿宋_GB2312" w:eastAsia="仿宋_GB2312" w:cs="仿宋_GB2312"/>
          <w:sz w:val="32"/>
          <w:szCs w:val="32"/>
          <w:lang w:val="en-US" w:eastAsia="zh-CN"/>
        </w:rPr>
        <w:t>72.04</w:t>
      </w:r>
      <w:r>
        <w:rPr>
          <w:rFonts w:hint="eastAsia" w:ascii="仿宋_GB2312" w:hAnsi="仿宋_GB2312" w:eastAsia="仿宋_GB2312" w:cs="仿宋_GB2312"/>
          <w:sz w:val="32"/>
          <w:szCs w:val="32"/>
        </w:rPr>
        <w:t>万元、政府采购工程支出</w:t>
      </w:r>
      <w:r>
        <w:rPr>
          <w:rFonts w:hint="eastAsia" w:ascii="仿宋_GB2312" w:hAnsi="仿宋_GB2312" w:eastAsia="仿宋_GB2312" w:cs="仿宋_GB2312"/>
          <w:sz w:val="32"/>
          <w:szCs w:val="32"/>
          <w:lang w:val="en-US" w:eastAsia="zh-CN"/>
        </w:rPr>
        <w:t>78.3</w:t>
      </w:r>
      <w:r>
        <w:rPr>
          <w:rFonts w:hint="eastAsia" w:ascii="仿宋_GB2312" w:hAnsi="仿宋_GB2312" w:eastAsia="仿宋_GB2312" w:cs="仿宋_GB2312"/>
          <w:sz w:val="32"/>
          <w:szCs w:val="32"/>
        </w:rPr>
        <w:t>万元、政府采购服务支出</w:t>
      </w:r>
      <w:r>
        <w:rPr>
          <w:rFonts w:hint="eastAsia" w:ascii="仿宋_GB2312" w:hAnsi="仿宋_GB2312" w:eastAsia="仿宋_GB2312" w:cs="仿宋_GB2312"/>
          <w:sz w:val="32"/>
          <w:szCs w:val="32"/>
          <w:lang w:val="en-US" w:eastAsia="zh-CN"/>
        </w:rPr>
        <w:t>192.02</w:t>
      </w:r>
      <w:r>
        <w:rPr>
          <w:rFonts w:hint="eastAsia" w:ascii="仿宋_GB2312" w:hAnsi="仿宋_GB2312" w:eastAsia="仿宋_GB2312" w:cs="仿宋_GB2312"/>
          <w:sz w:val="32"/>
          <w:szCs w:val="32"/>
        </w:rPr>
        <w:t>万元。授予中小企业合同金额</w:t>
      </w:r>
      <w:r>
        <w:rPr>
          <w:rFonts w:hint="eastAsia" w:ascii="仿宋_GB2312" w:hAnsi="仿宋_GB2312" w:eastAsia="仿宋_GB2312" w:cs="仿宋_GB2312"/>
          <w:sz w:val="32"/>
          <w:szCs w:val="32"/>
          <w:lang w:val="en-US" w:eastAsia="zh-CN"/>
        </w:rPr>
        <w:t>342.36</w:t>
      </w:r>
      <w:r>
        <w:rPr>
          <w:rFonts w:hint="eastAsia" w:ascii="仿宋_GB2312" w:hAnsi="仿宋_GB2312" w:eastAsia="仿宋_GB2312" w:cs="仿宋_GB2312"/>
          <w:sz w:val="32"/>
          <w:szCs w:val="32"/>
        </w:rPr>
        <w:t>万元，占政府采购支出总额的</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%，其中：授予小微企业合同金额</w:t>
      </w:r>
      <w:r>
        <w:rPr>
          <w:rFonts w:hint="eastAsia" w:ascii="仿宋_GB2312" w:hAnsi="仿宋_GB2312" w:eastAsia="仿宋_GB2312" w:cs="仿宋_GB2312"/>
          <w:sz w:val="32"/>
          <w:szCs w:val="32"/>
          <w:lang w:val="en-US" w:eastAsia="zh-CN"/>
        </w:rPr>
        <w:t>342.36</w:t>
      </w:r>
      <w:r>
        <w:rPr>
          <w:rFonts w:hint="eastAsia" w:ascii="仿宋_GB2312" w:hAnsi="仿宋_GB2312" w:eastAsia="仿宋_GB2312" w:cs="仿宋_GB2312"/>
          <w:sz w:val="32"/>
          <w:szCs w:val="32"/>
        </w:rPr>
        <w:t>万元，</w:t>
      </w:r>
      <w:r>
        <w:rPr>
          <w:rFonts w:hint="eastAsia" w:ascii="仿宋_GB2312" w:hAnsi="仿宋_GB2312" w:eastAsia="仿宋_GB2312" w:cs="仿宋_GB2312"/>
          <w:color w:val="auto"/>
          <w:sz w:val="32"/>
          <w:szCs w:val="32"/>
        </w:rPr>
        <w:t>占</w:t>
      </w:r>
      <w:r>
        <w:rPr>
          <w:rFonts w:hint="eastAsia" w:ascii="仿宋_GB2312" w:hAnsi="仿宋_GB2312" w:eastAsia="仿宋_GB2312" w:cs="仿宋_GB2312"/>
          <w:color w:val="auto"/>
          <w:sz w:val="32"/>
          <w:szCs w:val="32"/>
          <w:lang w:eastAsia="zh-CN"/>
        </w:rPr>
        <w:t>授予中小企业合同金额</w:t>
      </w:r>
      <w:r>
        <w:rPr>
          <w:rFonts w:hint="eastAsia" w:ascii="仿宋_GB2312" w:hAnsi="仿宋_GB2312" w:eastAsia="仿宋_GB2312" w:cs="仿宋_GB2312"/>
          <w:color w:val="auto"/>
          <w:sz w:val="32"/>
          <w:szCs w:val="32"/>
        </w:rPr>
        <w:t>的</w:t>
      </w:r>
      <w:r>
        <w:rPr>
          <w:rFonts w:hint="eastAsia" w:ascii="仿宋_GB2312" w:hAnsi="仿宋_GB2312" w:eastAsia="仿宋_GB2312" w:cs="仿宋_GB2312"/>
          <w:color w:val="auto"/>
          <w:sz w:val="32"/>
          <w:szCs w:val="32"/>
          <w:lang w:val="en-US" w:eastAsia="zh-CN"/>
        </w:rPr>
        <w:t>100</w:t>
      </w:r>
      <w:r>
        <w:rPr>
          <w:rFonts w:hint="eastAsia" w:ascii="仿宋_GB2312" w:hAnsi="仿宋_GB2312" w:eastAsia="仿宋_GB2312" w:cs="仿宋_GB2312"/>
          <w:color w:val="auto"/>
          <w:sz w:val="32"/>
          <w:szCs w:val="32"/>
        </w:rPr>
        <w:t>%。货物采购授予中小</w:t>
      </w:r>
      <w:r>
        <w:rPr>
          <w:rFonts w:hint="eastAsia" w:ascii="Times New Roman" w:hAnsi="Times New Roman" w:eastAsia="仿宋_GB2312"/>
          <w:color w:val="auto"/>
          <w:sz w:val="32"/>
          <w:szCs w:val="32"/>
        </w:rPr>
        <w:t>企业合同金</w:t>
      </w:r>
      <w:r>
        <w:rPr>
          <w:rFonts w:hint="eastAsia" w:ascii="仿宋_GB2312" w:hAnsi="仿宋_GB2312" w:eastAsia="仿宋_GB2312" w:cs="仿宋_GB2312"/>
          <w:color w:val="auto"/>
          <w:sz w:val="32"/>
          <w:szCs w:val="32"/>
        </w:rPr>
        <w:t>额占货物支出金额的</w:t>
      </w:r>
      <w:r>
        <w:rPr>
          <w:rFonts w:hint="eastAsia" w:ascii="仿宋_GB2312" w:hAnsi="仿宋_GB2312" w:eastAsia="仿宋_GB2312" w:cs="仿宋_GB2312"/>
          <w:color w:val="auto"/>
          <w:sz w:val="32"/>
          <w:szCs w:val="32"/>
          <w:lang w:val="en-US" w:eastAsia="zh-CN"/>
        </w:rPr>
        <w:t>100</w:t>
      </w:r>
      <w:r>
        <w:rPr>
          <w:rFonts w:hint="eastAsia" w:ascii="仿宋_GB2312" w:hAnsi="仿宋_GB2312" w:eastAsia="仿宋_GB2312" w:cs="仿宋_GB2312"/>
          <w:color w:val="auto"/>
          <w:sz w:val="32"/>
          <w:szCs w:val="32"/>
        </w:rPr>
        <w:t>%，工程采购授予中小企业合同金额占工程支出金额的</w:t>
      </w:r>
      <w:r>
        <w:rPr>
          <w:rFonts w:hint="eastAsia" w:ascii="仿宋_GB2312" w:hAnsi="仿宋_GB2312" w:eastAsia="仿宋_GB2312" w:cs="仿宋_GB2312"/>
          <w:color w:val="auto"/>
          <w:sz w:val="32"/>
          <w:szCs w:val="32"/>
          <w:lang w:val="en-US" w:eastAsia="zh-CN"/>
        </w:rPr>
        <w:t>100</w:t>
      </w:r>
      <w:r>
        <w:rPr>
          <w:rFonts w:hint="eastAsia" w:ascii="仿宋_GB2312" w:hAnsi="仿宋_GB2312" w:eastAsia="仿宋_GB2312" w:cs="仿宋_GB2312"/>
          <w:color w:val="auto"/>
          <w:sz w:val="32"/>
          <w:szCs w:val="32"/>
        </w:rPr>
        <w:t>%，服务采购授予中小企业合同金额占服务支出金额的</w:t>
      </w:r>
      <w:r>
        <w:rPr>
          <w:rFonts w:hint="eastAsia" w:ascii="仿宋_GB2312" w:hAnsi="仿宋_GB2312" w:eastAsia="仿宋_GB2312" w:cs="仿宋_GB2312"/>
          <w:color w:val="auto"/>
          <w:sz w:val="32"/>
          <w:szCs w:val="32"/>
          <w:lang w:val="en-US" w:eastAsia="zh-CN"/>
        </w:rPr>
        <w:t>100</w:t>
      </w:r>
      <w:r>
        <w:rPr>
          <w:rFonts w:hint="eastAsia" w:ascii="仿宋_GB2312" w:hAnsi="仿宋_GB2312" w:eastAsia="仿宋_GB2312" w:cs="仿宋_GB2312"/>
          <w:color w:val="auto"/>
          <w:sz w:val="32"/>
          <w:szCs w:val="32"/>
        </w:rPr>
        <w:t>%。</w:t>
      </w:r>
    </w:p>
    <w:p w14:paraId="4EBC8521">
      <w:pPr>
        <w:pStyle w:val="13"/>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十</w:t>
      </w:r>
      <w:r>
        <w:rPr>
          <w:rFonts w:hint="eastAsia" w:hAnsi="黑体" w:cs="黑体"/>
          <w:b w:val="0"/>
          <w:bCs/>
          <w:color w:val="auto"/>
          <w:sz w:val="32"/>
          <w:szCs w:val="32"/>
          <w:lang w:eastAsia="zh-CN"/>
        </w:rPr>
        <w:t>三</w:t>
      </w:r>
      <w:r>
        <w:rPr>
          <w:rFonts w:hint="eastAsia" w:ascii="黑体" w:hAnsi="黑体" w:eastAsia="黑体" w:cs="黑体"/>
          <w:b w:val="0"/>
          <w:bCs/>
          <w:color w:val="auto"/>
          <w:sz w:val="32"/>
          <w:szCs w:val="32"/>
        </w:rPr>
        <w:t>、关于国有资产占用情况说明</w:t>
      </w:r>
    </w:p>
    <w:p w14:paraId="21771674">
      <w:pPr>
        <w:pStyle w:val="13"/>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黑体" w:hAnsi="黑体" w:eastAsia="黑体" w:cs="黑体"/>
          <w:b w:val="0"/>
          <w:bCs/>
          <w:color w:val="auto"/>
          <w:sz w:val="32"/>
          <w:szCs w:val="32"/>
        </w:rPr>
      </w:pPr>
      <w:r>
        <w:rPr>
          <w:rFonts w:hint="eastAsia" w:ascii="仿宋_GB2312" w:hAnsi="仿宋_GB2312" w:eastAsia="仿宋_GB2312" w:cs="仿宋_GB2312"/>
          <w:color w:val="auto"/>
          <w:sz w:val="32"/>
          <w:szCs w:val="32"/>
        </w:rPr>
        <w:t>截至</w:t>
      </w:r>
      <w:r>
        <w:rPr>
          <w:rFonts w:hint="eastAsia" w:ascii="仿宋_GB2312" w:hAnsi="仿宋_GB2312" w:eastAsia="仿宋_GB2312" w:cs="仿宋_GB2312"/>
          <w:color w:val="auto"/>
          <w:sz w:val="32"/>
          <w:szCs w:val="32"/>
          <w:lang w:eastAsia="zh-CN"/>
        </w:rPr>
        <w:t>2025年</w:t>
      </w:r>
      <w:r>
        <w:rPr>
          <w:rFonts w:hint="eastAsia" w:ascii="仿宋_GB2312" w:hAnsi="仿宋_GB2312" w:eastAsia="仿宋_GB2312" w:cs="仿宋_GB2312"/>
          <w:color w:val="auto"/>
          <w:sz w:val="32"/>
          <w:szCs w:val="32"/>
        </w:rPr>
        <w:t>12月31日，</w:t>
      </w:r>
      <w:r>
        <w:rPr>
          <w:rFonts w:hint="eastAsia" w:ascii="仿宋_GB2312" w:hAnsi="仿宋_GB2312" w:eastAsia="仿宋_GB2312" w:cs="仿宋_GB2312"/>
          <w:color w:val="auto"/>
          <w:sz w:val="32"/>
          <w:szCs w:val="32"/>
          <w:lang w:val="en-US" w:eastAsia="zh-CN"/>
        </w:rPr>
        <w:t>本单位</w:t>
      </w:r>
      <w:r>
        <w:rPr>
          <w:rFonts w:hint="eastAsia" w:ascii="仿宋_GB2312" w:hAnsi="仿宋_GB2312" w:eastAsia="仿宋_GB2312" w:cs="仿宋_GB2312"/>
          <w:color w:val="auto"/>
          <w:sz w:val="32"/>
          <w:szCs w:val="32"/>
        </w:rPr>
        <w:t>共有车辆</w:t>
      </w:r>
      <w:r>
        <w:rPr>
          <w:rFonts w:hint="eastAsia" w:ascii="仿宋_GB2312" w:hAnsi="仿宋_GB2312" w:eastAsia="仿宋_GB2312" w:cs="仿宋_GB2312"/>
          <w:color w:val="auto"/>
          <w:sz w:val="32"/>
          <w:szCs w:val="32"/>
          <w:lang w:val="en-US" w:eastAsia="zh-CN"/>
        </w:rPr>
        <w:t>21</w:t>
      </w:r>
      <w:r>
        <w:rPr>
          <w:rFonts w:hint="eastAsia" w:ascii="仿宋_GB2312" w:hAnsi="仿宋_GB2312" w:eastAsia="仿宋_GB2312" w:cs="仿宋_GB2312"/>
          <w:color w:val="auto"/>
          <w:sz w:val="32"/>
          <w:szCs w:val="32"/>
        </w:rPr>
        <w:t>辆，其中</w:t>
      </w:r>
      <w:r>
        <w:rPr>
          <w:rFonts w:hint="eastAsia" w:ascii="仿宋_GB2312" w:hAnsi="仿宋_GB2312" w:eastAsia="仿宋_GB2312" w:cs="仿宋_GB2312"/>
          <w:color w:val="auto"/>
          <w:sz w:val="32"/>
          <w:szCs w:val="32"/>
          <w:lang w:eastAsia="zh-CN"/>
        </w:rPr>
        <w:t>，副部（省）级及以上领导用车</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辆</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主要</w:t>
      </w:r>
      <w:r>
        <w:rPr>
          <w:rFonts w:hint="eastAsia" w:ascii="仿宋_GB2312" w:hAnsi="仿宋_GB2312" w:eastAsia="仿宋_GB2312" w:cs="仿宋_GB2312"/>
          <w:color w:val="auto"/>
          <w:sz w:val="32"/>
          <w:szCs w:val="32"/>
          <w:lang w:eastAsia="zh-CN"/>
        </w:rPr>
        <w:t>负责人</w:t>
      </w:r>
      <w:r>
        <w:rPr>
          <w:rFonts w:hint="eastAsia" w:ascii="仿宋_GB2312" w:hAnsi="仿宋_GB2312" w:eastAsia="仿宋_GB2312" w:cs="仿宋_GB2312"/>
          <w:color w:val="auto"/>
          <w:sz w:val="32"/>
          <w:szCs w:val="32"/>
        </w:rPr>
        <w:t>用车</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辆</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机要通信用车</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辆、应急保障用车</w:t>
      </w:r>
      <w:r>
        <w:rPr>
          <w:rFonts w:hint="eastAsia" w:ascii="仿宋_GB2312" w:hAnsi="仿宋_GB2312" w:eastAsia="仿宋_GB2312" w:cs="仿宋_GB2312"/>
          <w:color w:val="auto"/>
          <w:sz w:val="32"/>
          <w:szCs w:val="32"/>
          <w:lang w:val="en-US" w:eastAsia="zh-CN"/>
        </w:rPr>
        <w:t>2</w:t>
      </w:r>
      <w:r>
        <w:rPr>
          <w:rFonts w:hint="eastAsia" w:ascii="仿宋_GB2312" w:hAnsi="仿宋_GB2312" w:eastAsia="仿宋_GB2312" w:cs="仿宋_GB2312"/>
          <w:color w:val="auto"/>
          <w:sz w:val="32"/>
          <w:szCs w:val="32"/>
        </w:rPr>
        <w:t>辆、执法执勤用车</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辆、特种专业技术用车</w:t>
      </w:r>
      <w:r>
        <w:rPr>
          <w:rFonts w:hint="eastAsia" w:ascii="仿宋_GB2312" w:hAnsi="仿宋_GB2312" w:eastAsia="仿宋_GB2312" w:cs="仿宋_GB2312"/>
          <w:color w:val="auto"/>
          <w:sz w:val="32"/>
          <w:szCs w:val="32"/>
          <w:lang w:val="en-US" w:eastAsia="zh-CN"/>
        </w:rPr>
        <w:t>4</w:t>
      </w:r>
      <w:r>
        <w:rPr>
          <w:rFonts w:hint="eastAsia" w:ascii="仿宋_GB2312" w:hAnsi="仿宋_GB2312" w:eastAsia="仿宋_GB2312" w:cs="仿宋_GB2312"/>
          <w:color w:val="auto"/>
          <w:sz w:val="32"/>
          <w:szCs w:val="32"/>
        </w:rPr>
        <w:t>辆、</w:t>
      </w:r>
      <w:r>
        <w:rPr>
          <w:rFonts w:hint="eastAsia" w:ascii="仿宋_GB2312" w:hAnsi="仿宋_GB2312" w:eastAsia="仿宋_GB2312" w:cs="仿宋_GB2312"/>
          <w:color w:val="auto"/>
          <w:sz w:val="32"/>
          <w:szCs w:val="32"/>
          <w:lang w:eastAsia="zh-CN"/>
        </w:rPr>
        <w:t>离退休干部服务用车</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辆、其他用车</w:t>
      </w:r>
      <w:r>
        <w:rPr>
          <w:rFonts w:hint="eastAsia" w:ascii="仿宋_GB2312" w:hAnsi="仿宋_GB2312" w:eastAsia="仿宋_GB2312" w:cs="仿宋_GB2312"/>
          <w:color w:val="auto"/>
          <w:sz w:val="32"/>
          <w:szCs w:val="32"/>
          <w:lang w:val="en-US" w:eastAsia="zh-CN"/>
        </w:rPr>
        <w:t>15</w:t>
      </w:r>
      <w:r>
        <w:rPr>
          <w:rFonts w:hint="eastAsia" w:ascii="仿宋_GB2312" w:hAnsi="仿宋_GB2312" w:eastAsia="仿宋_GB2312" w:cs="仿宋_GB2312"/>
          <w:color w:val="auto"/>
          <w:sz w:val="32"/>
          <w:szCs w:val="32"/>
        </w:rPr>
        <w:t>辆，其他用车主要是</w:t>
      </w:r>
      <w:r>
        <w:rPr>
          <w:rFonts w:hint="eastAsia" w:ascii="Times New Roman" w:hAnsi="Times New Roman" w:eastAsia="仿宋_GB2312"/>
          <w:sz w:val="32"/>
          <w:szCs w:val="32"/>
          <w:lang w:val="en-US" w:eastAsia="zh-CN"/>
        </w:rPr>
        <w:t>工程生产用车</w:t>
      </w:r>
      <w:r>
        <w:rPr>
          <w:rFonts w:hint="eastAsia" w:ascii="仿宋_GB2312" w:hAnsi="仿宋_GB2312" w:eastAsia="仿宋_GB2312" w:cs="仿宋_GB2312"/>
          <w:color w:val="auto"/>
          <w:sz w:val="32"/>
          <w:szCs w:val="32"/>
        </w:rPr>
        <w:t>；单位价值100万元以上设备</w:t>
      </w:r>
      <w:r>
        <w:rPr>
          <w:rFonts w:hint="eastAsia" w:ascii="仿宋_GB2312" w:hAnsi="仿宋_GB2312" w:eastAsia="仿宋_GB2312" w:cs="仿宋_GB2312"/>
          <w:color w:val="auto"/>
          <w:sz w:val="32"/>
          <w:szCs w:val="32"/>
          <w:lang w:eastAsia="zh-CN"/>
        </w:rPr>
        <w:t>（不含车辆）</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台（套）。</w:t>
      </w:r>
    </w:p>
    <w:p w14:paraId="3209D29A">
      <w:pPr>
        <w:pStyle w:val="13"/>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黑体" w:hAnsi="黑体" w:eastAsia="黑体" w:cs="黑体"/>
          <w:b w:val="0"/>
          <w:bCs/>
          <w:color w:val="auto"/>
          <w:sz w:val="32"/>
          <w:szCs w:val="32"/>
          <w:highlight w:val="none"/>
        </w:rPr>
      </w:pPr>
      <w:r>
        <w:rPr>
          <w:rFonts w:hint="eastAsia" w:ascii="黑体" w:hAnsi="黑体" w:eastAsia="黑体" w:cs="黑体"/>
          <w:b w:val="0"/>
          <w:bCs/>
          <w:color w:val="auto"/>
          <w:sz w:val="32"/>
          <w:szCs w:val="32"/>
          <w:highlight w:val="none"/>
        </w:rPr>
        <w:t>十</w:t>
      </w:r>
      <w:r>
        <w:rPr>
          <w:rFonts w:hint="eastAsia" w:hAnsi="黑体" w:cs="黑体"/>
          <w:b w:val="0"/>
          <w:bCs/>
          <w:color w:val="auto"/>
          <w:sz w:val="32"/>
          <w:szCs w:val="32"/>
          <w:highlight w:val="none"/>
          <w:lang w:eastAsia="zh-CN"/>
        </w:rPr>
        <w:t>四</w:t>
      </w:r>
      <w:r>
        <w:rPr>
          <w:rFonts w:hint="eastAsia" w:ascii="黑体" w:hAnsi="黑体" w:eastAsia="黑体" w:cs="黑体"/>
          <w:b w:val="0"/>
          <w:bCs/>
          <w:color w:val="auto"/>
          <w:sz w:val="32"/>
          <w:szCs w:val="32"/>
          <w:highlight w:val="none"/>
        </w:rPr>
        <w:t>、关于</w:t>
      </w:r>
      <w:r>
        <w:rPr>
          <w:rFonts w:hint="eastAsia" w:ascii="Times New Roman" w:hAnsi="Times New Roman" w:eastAsia="仿宋_GB2312"/>
          <w:color w:val="auto"/>
          <w:sz w:val="32"/>
          <w:szCs w:val="32"/>
          <w:highlight w:val="none"/>
          <w:lang w:eastAsia="zh-CN"/>
        </w:rPr>
        <w:t>2025年</w:t>
      </w:r>
      <w:r>
        <w:rPr>
          <w:rFonts w:hint="eastAsia" w:ascii="黑体" w:hAnsi="黑体" w:eastAsia="黑体" w:cs="黑体"/>
          <w:b w:val="0"/>
          <w:bCs/>
          <w:color w:val="auto"/>
          <w:sz w:val="32"/>
          <w:szCs w:val="32"/>
          <w:highlight w:val="none"/>
        </w:rPr>
        <w:t>度</w:t>
      </w:r>
      <w:r>
        <w:rPr>
          <w:rFonts w:hint="eastAsia" w:hAnsi="黑体" w:cs="黑体"/>
          <w:b w:val="0"/>
          <w:bCs/>
          <w:color w:val="auto"/>
          <w:sz w:val="32"/>
          <w:szCs w:val="32"/>
          <w:highlight w:val="none"/>
          <w:lang w:eastAsia="zh-CN"/>
        </w:rPr>
        <w:t>预算</w:t>
      </w:r>
      <w:r>
        <w:rPr>
          <w:rFonts w:hint="eastAsia" w:ascii="黑体" w:hAnsi="黑体" w:eastAsia="黑体" w:cs="黑体"/>
          <w:b w:val="0"/>
          <w:bCs/>
          <w:color w:val="auto"/>
          <w:sz w:val="32"/>
          <w:szCs w:val="32"/>
          <w:highlight w:val="none"/>
        </w:rPr>
        <w:t>绩效</w:t>
      </w:r>
      <w:r>
        <w:rPr>
          <w:rFonts w:hint="eastAsia" w:hAnsi="黑体" w:cs="黑体"/>
          <w:b w:val="0"/>
          <w:bCs/>
          <w:color w:val="auto"/>
          <w:sz w:val="32"/>
          <w:szCs w:val="32"/>
          <w:highlight w:val="none"/>
          <w:lang w:eastAsia="zh-CN"/>
        </w:rPr>
        <w:t>管理</w:t>
      </w:r>
      <w:r>
        <w:rPr>
          <w:rFonts w:hint="eastAsia" w:ascii="黑体" w:hAnsi="黑体" w:eastAsia="黑体" w:cs="黑体"/>
          <w:b w:val="0"/>
          <w:bCs/>
          <w:color w:val="auto"/>
          <w:sz w:val="32"/>
          <w:szCs w:val="32"/>
          <w:highlight w:val="none"/>
        </w:rPr>
        <w:t>情况的说明</w:t>
      </w:r>
    </w:p>
    <w:p w14:paraId="3175CA3F">
      <w:pPr>
        <w:overflowPunct w:val="0"/>
        <w:spacing w:line="600" w:lineRule="exact"/>
        <w:ind w:firstLine="640" w:firstLineChars="200"/>
        <w:rPr>
          <w:rFonts w:ascii="Times New Roman" w:hAnsi="Times New Roman" w:eastAsia="楷体_GB2312" w:cs="Times New Roman"/>
          <w:b/>
          <w:bCs/>
          <w:sz w:val="32"/>
          <w:szCs w:val="32"/>
        </w:rPr>
      </w:pPr>
      <w:r>
        <w:rPr>
          <w:rFonts w:ascii="Times New Roman" w:hAnsi="Times New Roman" w:eastAsia="楷体_GB2312" w:cs="Times New Roman"/>
          <w:b/>
          <w:bCs/>
          <w:sz w:val="32"/>
          <w:szCs w:val="32"/>
        </w:rPr>
        <w:t>（一）绩效评价工作开展情况</w:t>
      </w:r>
    </w:p>
    <w:p w14:paraId="4F2581A3">
      <w:pPr>
        <w:overflowPunct w:val="0"/>
        <w:spacing w:line="600" w:lineRule="exact"/>
        <w:ind w:firstLine="640" w:firstLineChars="200"/>
        <w:rPr>
          <w:rFonts w:ascii="Times New Roman" w:hAnsi="Times New Roman" w:eastAsia="仿宋_GB2312" w:cs="Times New Roman"/>
          <w:kern w:val="0"/>
          <w:sz w:val="32"/>
          <w:szCs w:val="32"/>
          <w:highlight w:val="none"/>
        </w:rPr>
      </w:pPr>
      <w:r>
        <w:rPr>
          <w:rFonts w:hint="eastAsia" w:ascii="Times New Roman" w:hAnsi="Times New Roman" w:eastAsia="仿宋_GB2312" w:cs="Times New Roman"/>
          <w:kern w:val="0"/>
          <w:sz w:val="32"/>
          <w:szCs w:val="32"/>
          <w:highlight w:val="none"/>
          <w:lang w:val="en-US" w:eastAsia="zh-CN"/>
        </w:rPr>
        <w:t>1.</w:t>
      </w:r>
      <w:r>
        <w:rPr>
          <w:rFonts w:hint="eastAsia" w:ascii="Times New Roman" w:hAnsi="Times New Roman" w:eastAsia="仿宋_GB2312" w:cs="Times New Roman"/>
          <w:b/>
          <w:bCs/>
          <w:kern w:val="0"/>
          <w:sz w:val="32"/>
          <w:szCs w:val="32"/>
          <w:lang w:val="en-US" w:eastAsia="zh-CN"/>
        </w:rPr>
        <w:t>绩</w:t>
      </w:r>
      <w:r>
        <w:rPr>
          <w:rFonts w:ascii="Times New Roman" w:hAnsi="Times New Roman" w:eastAsia="仿宋_GB2312" w:cs="Times New Roman"/>
          <w:b/>
          <w:bCs/>
          <w:kern w:val="0"/>
          <w:sz w:val="32"/>
          <w:szCs w:val="32"/>
        </w:rPr>
        <w:t>效自评开展情况。</w:t>
      </w:r>
      <w:r>
        <w:rPr>
          <w:rFonts w:ascii="Times New Roman" w:hAnsi="Times New Roman" w:eastAsia="仿宋_GB2312" w:cs="Times New Roman"/>
          <w:kern w:val="0"/>
          <w:sz w:val="32"/>
          <w:szCs w:val="32"/>
        </w:rPr>
        <w:t>组织对</w:t>
      </w:r>
      <w:r>
        <w:rPr>
          <w:rFonts w:hint="eastAsia" w:ascii="Times New Roman" w:hAnsi="Times New Roman" w:eastAsia="仿宋_GB2312" w:cs="Times New Roman"/>
          <w:kern w:val="0"/>
          <w:sz w:val="32"/>
          <w:szCs w:val="32"/>
          <w:lang w:eastAsia="zh-CN"/>
        </w:rPr>
        <w:t>2025年</w:t>
      </w:r>
      <w:r>
        <w:rPr>
          <w:rFonts w:ascii="Times New Roman" w:hAnsi="Times New Roman" w:eastAsia="仿宋_GB2312" w:cs="Times New Roman"/>
          <w:kern w:val="0"/>
          <w:sz w:val="32"/>
          <w:szCs w:val="32"/>
        </w:rPr>
        <w:t>度本部门（单位）整体支出开展绩效自评，涉及项目</w:t>
      </w:r>
      <w:r>
        <w:rPr>
          <w:rFonts w:hint="eastAsia" w:ascii="Times New Roman" w:hAnsi="Times New Roman" w:eastAsia="仿宋_GB2312" w:cs="Times New Roman"/>
          <w:kern w:val="0"/>
          <w:sz w:val="32"/>
          <w:szCs w:val="32"/>
          <w:lang w:val="en-US" w:eastAsia="zh-CN"/>
        </w:rPr>
        <w:t>3</w:t>
      </w:r>
      <w:r>
        <w:rPr>
          <w:rFonts w:ascii="Times New Roman" w:hAnsi="Times New Roman" w:eastAsia="仿宋_GB2312" w:cs="Times New Roman"/>
          <w:kern w:val="0"/>
          <w:sz w:val="32"/>
          <w:szCs w:val="32"/>
        </w:rPr>
        <w:t>个，共涉及资金</w:t>
      </w:r>
      <w:r>
        <w:rPr>
          <w:rFonts w:hint="eastAsia" w:ascii="Times New Roman" w:hAnsi="Times New Roman" w:eastAsia="仿宋_GB2312" w:cs="Times New Roman"/>
          <w:kern w:val="0"/>
          <w:sz w:val="32"/>
          <w:szCs w:val="32"/>
          <w:lang w:val="en-US" w:eastAsia="zh-CN"/>
        </w:rPr>
        <w:t>1126.37</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lang w:val="en-US" w:eastAsia="zh-CN"/>
        </w:rPr>
        <w:t>3</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1126.37</w:t>
      </w:r>
      <w:r>
        <w:rPr>
          <w:rFonts w:ascii="Times New Roman" w:hAnsi="Times New Roman" w:eastAsia="仿宋_GB2312" w:cs="Times New Roman"/>
          <w:kern w:val="0"/>
          <w:sz w:val="32"/>
          <w:szCs w:val="32"/>
        </w:rPr>
        <w:t>万元，占一般公共预算支出总额的</w:t>
      </w:r>
      <w:r>
        <w:rPr>
          <w:rFonts w:hint="eastAsia" w:ascii="Times New Roman" w:hAnsi="Times New Roman" w:eastAsia="仿宋_GB2312" w:cs="Times New Roman"/>
          <w:kern w:val="0"/>
          <w:sz w:val="32"/>
          <w:szCs w:val="32"/>
          <w:lang w:val="en-US" w:eastAsia="zh-CN"/>
        </w:rPr>
        <w:t>3.69</w:t>
      </w:r>
      <w:r>
        <w:rPr>
          <w:rFonts w:ascii="Times New Roman" w:hAnsi="Times New Roman" w:eastAsia="仿宋_GB2312" w:cs="Times New Roman"/>
          <w:kern w:val="0"/>
          <w:sz w:val="32"/>
          <w:szCs w:val="32"/>
        </w:rPr>
        <w:t>%；</w:t>
      </w:r>
      <w:r>
        <w:rPr>
          <w:rFonts w:hint="eastAsia" w:ascii="仿宋_GB2312" w:hAnsi="仿宋_GB2312" w:eastAsia="仿宋_GB2312" w:cs="仿宋_GB2312"/>
          <w:color w:val="auto"/>
          <w:kern w:val="0"/>
          <w:sz w:val="32"/>
          <w:szCs w:val="32"/>
          <w:lang w:val="en-US" w:eastAsia="zh-CN" w:bidi="ar-SA"/>
        </w:rPr>
        <w:t>因政府性基金预算项目支出总额为0，故无法计算占政府性基金预算项目支出总额的比重；国有资本经营预算项目0个0万元，因国有资本经营预算项目支出总额为0，故无法计算占国有资本经营预算项目支出总额的比重；社会保险基金预算项目0个0万元，因社会保险基金预算项目支出总额为0，故无法计算占社会保险基金预算项目支出总额的比重。</w:t>
      </w:r>
    </w:p>
    <w:p w14:paraId="058C66A1">
      <w:pPr>
        <w:numPr>
          <w:ilvl w:val="0"/>
          <w:numId w:val="0"/>
        </w:numPr>
        <w:overflowPunct w:val="0"/>
        <w:spacing w:line="600" w:lineRule="exact"/>
        <w:ind w:firstLine="640" w:firstLineChars="200"/>
        <w:rPr>
          <w:rFonts w:hint="eastAsia" w:ascii="仿宋_GB2312" w:hAnsi="仿宋_GB2312" w:eastAsia="仿宋_GB2312" w:cs="仿宋_GB2312"/>
          <w:color w:val="auto"/>
          <w:kern w:val="0"/>
          <w:sz w:val="32"/>
          <w:szCs w:val="32"/>
          <w:lang w:val="en-US" w:eastAsia="zh-CN" w:bidi="ar-SA"/>
        </w:rPr>
      </w:pPr>
      <w:r>
        <w:rPr>
          <w:rFonts w:hint="eastAsia" w:ascii="Times New Roman" w:hAnsi="Times New Roman" w:eastAsia="仿宋_GB2312" w:cs="Times New Roman"/>
          <w:kern w:val="0"/>
          <w:sz w:val="32"/>
          <w:szCs w:val="32"/>
          <w:highlight w:val="none"/>
          <w:lang w:val="en-US" w:eastAsia="zh-CN"/>
        </w:rPr>
        <w:t>2.</w:t>
      </w:r>
      <w:r>
        <w:rPr>
          <w:rFonts w:ascii="Times New Roman" w:hAnsi="Times New Roman" w:eastAsia="仿宋_GB2312" w:cs="Times New Roman"/>
          <w:b/>
          <w:bCs/>
          <w:kern w:val="0"/>
          <w:sz w:val="32"/>
          <w:szCs w:val="32"/>
        </w:rPr>
        <w:t>部门评价开展情况。</w:t>
      </w:r>
      <w:r>
        <w:rPr>
          <w:rFonts w:hint="eastAsia" w:ascii="仿宋_GB2312" w:hAnsi="仿宋_GB2312" w:eastAsia="仿宋_GB2312" w:cs="仿宋_GB2312"/>
          <w:color w:val="auto"/>
          <w:kern w:val="0"/>
          <w:sz w:val="32"/>
          <w:szCs w:val="32"/>
          <w:lang w:val="en-US" w:eastAsia="zh-CN" w:bidi="ar-SA"/>
        </w:rPr>
        <w:t>本单位为二级预算单位，部门评价开展情况可详见上级部门决算公开说明。</w:t>
      </w:r>
    </w:p>
    <w:p w14:paraId="004D01B3">
      <w:pPr>
        <w:numPr>
          <w:ilvl w:val="0"/>
          <w:numId w:val="0"/>
        </w:numPr>
        <w:overflowPunct w:val="0"/>
        <w:spacing w:line="600" w:lineRule="exact"/>
        <w:ind w:firstLine="640" w:firstLineChars="200"/>
        <w:rPr>
          <w:rFonts w:hint="eastAsia" w:ascii="Times New Roman" w:hAnsi="Times New Roman" w:eastAsia="仿宋_GB2312" w:cs="Times New Roman"/>
          <w:kern w:val="0"/>
          <w:sz w:val="32"/>
          <w:szCs w:val="32"/>
          <w:highlight w:val="none"/>
          <w:lang w:val="en-US" w:eastAsia="zh-CN"/>
        </w:rPr>
      </w:pPr>
      <w:r>
        <w:rPr>
          <w:rFonts w:hint="eastAsia" w:ascii="Times New Roman" w:hAnsi="Times New Roman" w:eastAsia="仿宋_GB2312" w:cs="Times New Roman"/>
          <w:kern w:val="0"/>
          <w:sz w:val="32"/>
          <w:szCs w:val="32"/>
          <w:lang w:val="en-US" w:eastAsia="zh-CN"/>
        </w:rPr>
        <w:t>3.</w:t>
      </w:r>
      <w:r>
        <w:rPr>
          <w:rFonts w:ascii="Times New Roman" w:hAnsi="Times New Roman" w:eastAsia="仿宋_GB2312" w:cs="Times New Roman"/>
          <w:b/>
          <w:bCs/>
          <w:kern w:val="0"/>
          <w:sz w:val="32"/>
          <w:szCs w:val="32"/>
        </w:rPr>
        <w:t>事前绩效评估开展情况。</w:t>
      </w:r>
      <w:r>
        <w:rPr>
          <w:rFonts w:hint="eastAsia" w:ascii="Times New Roman" w:hAnsi="Times New Roman" w:eastAsia="仿宋_GB2312" w:cs="Times New Roman"/>
          <w:kern w:val="0"/>
          <w:sz w:val="32"/>
          <w:szCs w:val="32"/>
          <w:highlight w:val="none"/>
          <w:lang w:val="en-US" w:eastAsia="zh-CN"/>
        </w:rPr>
        <w:t>本单位为二级预算单位，事前绩效评估开展情况可详见上级部门决算公开说明。</w:t>
      </w:r>
    </w:p>
    <w:p w14:paraId="1CC6467F">
      <w:pPr>
        <w:overflowPunct w:val="0"/>
        <w:spacing w:line="600" w:lineRule="exact"/>
        <w:ind w:firstLine="640" w:firstLineChars="200"/>
        <w:rPr>
          <w:rFonts w:ascii="Times New Roman" w:hAnsi="Times New Roman" w:eastAsia="楷体_GB2312" w:cs="Times New Roman"/>
          <w:b/>
          <w:bCs/>
          <w:sz w:val="32"/>
          <w:szCs w:val="32"/>
        </w:rPr>
      </w:pPr>
      <w:r>
        <w:rPr>
          <w:rFonts w:ascii="Times New Roman" w:hAnsi="Times New Roman" w:eastAsia="楷体_GB2312" w:cs="Times New Roman"/>
          <w:b/>
          <w:bCs/>
          <w:sz w:val="32"/>
          <w:szCs w:val="32"/>
        </w:rPr>
        <w:t>（二）绩效评价结果</w:t>
      </w:r>
    </w:p>
    <w:p w14:paraId="4A2F5BFF">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jc w:val="left"/>
        <w:textAlignment w:val="auto"/>
        <w:rPr>
          <w:rFonts w:hint="eastAsia" w:ascii="Times New Roman" w:hAnsi="Times New Roman" w:eastAsia="仿宋_GB2312" w:cs="Times New Roman"/>
          <w:kern w:val="0"/>
          <w:sz w:val="32"/>
          <w:szCs w:val="32"/>
          <w:lang w:eastAsia="zh-CN"/>
        </w:rPr>
      </w:pPr>
      <w:r>
        <w:rPr>
          <w:rFonts w:hint="eastAsia" w:ascii="Times New Roman" w:hAnsi="Times New Roman" w:eastAsia="仿宋_GB2312" w:cs="Times New Roman"/>
          <w:kern w:val="0"/>
          <w:sz w:val="32"/>
          <w:szCs w:val="32"/>
          <w:lang w:val="en-US" w:eastAsia="zh-CN"/>
        </w:rPr>
        <w:t>1.</w:t>
      </w:r>
      <w:r>
        <w:rPr>
          <w:rFonts w:ascii="Times New Roman" w:hAnsi="Times New Roman" w:eastAsia="仿宋_GB2312" w:cs="Times New Roman"/>
          <w:b/>
          <w:bCs/>
          <w:kern w:val="0"/>
          <w:sz w:val="32"/>
          <w:szCs w:val="32"/>
        </w:rPr>
        <w:t>绩效自评结果。</w:t>
      </w:r>
      <w:r>
        <w:rPr>
          <w:rFonts w:hint="eastAsia" w:ascii="Times New Roman" w:hAnsi="Times New Roman" w:eastAsia="仿宋_GB2312" w:cs="Times New Roman"/>
          <w:kern w:val="0"/>
          <w:sz w:val="32"/>
          <w:szCs w:val="32"/>
          <w:lang w:eastAsia="zh-CN"/>
        </w:rPr>
        <w:t>2025年</w:t>
      </w:r>
      <w:r>
        <w:rPr>
          <w:rFonts w:ascii="Times New Roman" w:hAnsi="Times New Roman" w:eastAsia="仿宋_GB2312" w:cs="Times New Roman"/>
          <w:kern w:val="0"/>
          <w:sz w:val="32"/>
          <w:szCs w:val="32"/>
        </w:rPr>
        <w:t>度本单位整体支出</w:t>
      </w:r>
      <w:r>
        <w:rPr>
          <w:rFonts w:ascii="Times New Roman" w:hAnsi="Times New Roman" w:eastAsia="仿宋_GB2312" w:cs="Times New Roman"/>
          <w:sz w:val="32"/>
          <w:szCs w:val="32"/>
        </w:rPr>
        <w:t>全年预算数</w:t>
      </w:r>
      <w:r>
        <w:rPr>
          <w:rFonts w:hint="default" w:ascii="Times New Roman" w:hAnsi="Times New Roman" w:eastAsia="仿宋_GB2312" w:cs="Times New Roman"/>
          <w:sz w:val="32"/>
          <w:szCs w:val="32"/>
          <w:lang w:val="en-US" w:eastAsia="zh-CN"/>
        </w:rPr>
        <w:t>10310.48</w:t>
      </w:r>
      <w:r>
        <w:rPr>
          <w:rFonts w:ascii="Times New Roman" w:hAnsi="Times New Roman" w:eastAsia="仿宋_GB2312" w:cs="Times New Roman"/>
          <w:sz w:val="32"/>
          <w:szCs w:val="32"/>
        </w:rPr>
        <w:t>万元，执行数</w:t>
      </w:r>
      <w:r>
        <w:rPr>
          <w:rFonts w:hint="default" w:ascii="Times New Roman" w:hAnsi="Times New Roman" w:eastAsia="仿宋_GB2312" w:cs="Times New Roman"/>
          <w:sz w:val="32"/>
          <w:szCs w:val="32"/>
          <w:lang w:val="en-US" w:eastAsia="zh-CN"/>
        </w:rPr>
        <w:t>30628.71</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297.06</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sz w:val="32"/>
          <w:szCs w:val="32"/>
          <w:lang w:val="en-US" w:eastAsia="zh-CN"/>
        </w:rPr>
        <w:t>95.26</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优</w:t>
      </w:r>
      <w:r>
        <w:rPr>
          <w:rFonts w:ascii="Times New Roman" w:hAnsi="Times New Roman" w:eastAsia="仿宋_GB2312" w:cs="Times New Roman"/>
          <w:sz w:val="32"/>
          <w:szCs w:val="32"/>
        </w:rPr>
        <w:t>”。绩效目标完成情况：</w:t>
      </w:r>
      <w:r>
        <w:rPr>
          <w:rFonts w:hint="eastAsia" w:ascii="仿宋_GB2312" w:hAnsi="仿宋_GB2312" w:eastAsia="仿宋_GB2312" w:cs="仿宋_GB2312"/>
          <w:color w:val="auto"/>
          <w:kern w:val="0"/>
          <w:sz w:val="32"/>
          <w:szCs w:val="32"/>
          <w:lang w:val="en-US" w:eastAsia="zh-CN" w:bidi="ar-SA"/>
        </w:rPr>
        <w:t>一是严格执行预算要求。增强预算刚性约束，完善严控严管制度化。严格执行市财政局批准的预算，坚持先有预算后有支出，严禁超预算、无预算安排支出，严控预算追加，非法定程序新增预算一律不得追加；二是积极降低运行成本。严格按照厉行节约的要求，大力弘扬艰苦奋斗、勤俭节约的工作作风，在资金预算管理上，严控和压缩一般支出，大力压减非刚性、非重点项目和公用经费支出，减少不必要的行政支出，降低运行成本，合理配置，提高保障能力。三是着力提升管理质效。严格遵守财经纪律，加强预算执行监管，构建规范透明的财政管理环境，不断提升财政管理科学化、规范化水平，确保财经纪律执行到位，整改问题及时有效。发现的主要问题及原因：一是预算编制和执行缺乏准确性。由于部分项目执行中不确定性因素较多,因而造成预算编制数和实际发生数存在差异,影响了预算收支的准确性；二是养护工程地方配套资金长期缺位。部分公路养护工程（如危桥改造、安保工程提升、水毁恢复重建、预防性养护工程等）明确要求市县财政配套资金。然而，相关市县财政一直未能按承诺或规定安排足额的地方配套资金，这直接导致项目无法实施或半途停滞。地方配套资金不到位造成的项目停滞和安全隐患，必然影响我市在全省交通工作考核中排名，甚至影响争取上级支持的力度。下一步改进措施：一是加强项目绩效管理，完善目标申报与全过程监控。按照财政绩效管理要求，进一步强化绩效管理的责任意识，切实加强组织和领导，确保在申报项目预算时制定明确、细化、量化、合理的绩效目标。同时强化绩效运行监控，定期跟踪分析项目进展和绩效目标实现程度，对偏离目标的项目及时预警纠偏。加强绩效评价结果应用，将评价结果作为改进管理、调整政策和安排预算的重要依据；二是科学合理编制预算，严格执行预算并强化约束力。按照政策规定的发展计划，结合上年度预算执行情况及项目本身变化因素，科学、合理地编制本年预算草案及工作实施方案，保障部门预算支出进度。预算编制需充分论证、精打细算，提高预算编制的准确性和前瞻性。预算一经批复，必须严格执行，强化预算刚性约束，严禁无预算、超预算支出。建立预算执行分析通报机制，按季度（或月度）分析支出进度和预算执行情况，对执行缓慢的及时查找原因、制定措施，确保预算支出均衡、有效。三是细化、强化政府采购预算编制与执行管理。严格按照政府采购相关制度和规定，根据上年度部门政府采购情况，结合各部室意见，合理预测政单位采购需求，提高预算编制的精准性。采购预算编制需细化到具体采购品目、数量、金额、时间节点及采购方式。加强采购需求论证和市场调研，确保采购需求明确、参数合理、预算准确。依据批复的采购预算，及时制定详细的政府采购实施计划并严格执行，着力提升政府采购执行率，确保采购活动依法合规、高效完成。</w:t>
      </w:r>
    </w:p>
    <w:p w14:paraId="1F555EDA">
      <w:pPr>
        <w:overflowPunct w:val="0"/>
        <w:spacing w:line="600" w:lineRule="exact"/>
        <w:ind w:firstLine="640" w:firstLineChars="200"/>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lang w:val="en-US" w:eastAsia="zh-CN"/>
        </w:rPr>
        <w:t>2.</w:t>
      </w:r>
      <w:r>
        <w:rPr>
          <w:rFonts w:ascii="Times New Roman" w:hAnsi="Times New Roman" w:eastAsia="仿宋_GB2312" w:cs="Times New Roman"/>
          <w:b/>
          <w:bCs/>
          <w:kern w:val="0"/>
          <w:sz w:val="32"/>
          <w:szCs w:val="32"/>
        </w:rPr>
        <w:t>部门评价结果。</w:t>
      </w:r>
      <w:r>
        <w:rPr>
          <w:rFonts w:hint="eastAsia" w:ascii="Times New Roman" w:hAnsi="Times New Roman" w:eastAsia="仿宋_GB2312" w:cs="Times New Roman"/>
          <w:sz w:val="32"/>
          <w:szCs w:val="32"/>
          <w:lang w:val="en-US" w:eastAsia="zh-CN"/>
        </w:rPr>
        <w:t>本单位为二级预算单位，部门评价结果可详见上级部门决算公开说明</w:t>
      </w:r>
      <w:r>
        <w:rPr>
          <w:rFonts w:hint="eastAsia" w:ascii="Times New Roman" w:hAnsi="Times New Roman" w:eastAsia="仿宋_GB2312" w:cs="Times New Roman"/>
          <w:sz w:val="32"/>
          <w:szCs w:val="32"/>
        </w:rPr>
        <w:t>。</w:t>
      </w:r>
    </w:p>
    <w:p w14:paraId="189E280C">
      <w:pPr>
        <w:overflowPunct w:val="0"/>
        <w:spacing w:line="600" w:lineRule="exact"/>
        <w:ind w:firstLine="640" w:firstLineChars="200"/>
        <w:rPr>
          <w:rFonts w:hint="eastAsia" w:ascii="Times New Roman" w:hAnsi="Times New Roman" w:eastAsia="仿宋_GB2312"/>
          <w:color w:val="FF0000"/>
          <w:sz w:val="32"/>
          <w:szCs w:val="32"/>
        </w:rPr>
      </w:pPr>
      <w:r>
        <w:rPr>
          <w:rFonts w:hint="eastAsia" w:ascii="Times New Roman" w:hAnsi="Times New Roman" w:eastAsia="仿宋_GB2312" w:cs="Times New Roman"/>
          <w:kern w:val="0"/>
          <w:sz w:val="32"/>
          <w:szCs w:val="32"/>
          <w:lang w:val="en-US" w:eastAsia="zh-CN"/>
        </w:rPr>
        <w:t>3.</w:t>
      </w:r>
      <w:r>
        <w:rPr>
          <w:rFonts w:hint="eastAsia" w:ascii="Times New Roman" w:hAnsi="Times New Roman" w:eastAsia="仿宋_GB2312" w:cs="Times New Roman"/>
          <w:b/>
          <w:bCs/>
          <w:kern w:val="0"/>
          <w:sz w:val="32"/>
          <w:szCs w:val="32"/>
          <w:highlight w:val="none"/>
          <w:lang w:val="en-US" w:eastAsia="zh-CN"/>
        </w:rPr>
        <w:t>事</w:t>
      </w:r>
      <w:r>
        <w:rPr>
          <w:rFonts w:ascii="Times New Roman" w:hAnsi="Times New Roman" w:eastAsia="仿宋_GB2312" w:cs="Times New Roman"/>
          <w:b/>
          <w:bCs/>
          <w:kern w:val="0"/>
          <w:sz w:val="32"/>
          <w:szCs w:val="32"/>
          <w:highlight w:val="none"/>
        </w:rPr>
        <w:t>前绩效评估结果。</w:t>
      </w:r>
      <w:r>
        <w:rPr>
          <w:rFonts w:hint="eastAsia" w:ascii="Times New Roman" w:hAnsi="Times New Roman" w:eastAsia="仿宋_GB2312" w:cs="Times New Roman"/>
          <w:sz w:val="32"/>
          <w:szCs w:val="32"/>
          <w:lang w:val="en-US" w:eastAsia="zh-CN"/>
        </w:rPr>
        <w:t>本单位为二级预算单位，事前绩效评估结果可详见上级部门决算公开说明</w:t>
      </w:r>
      <w:r>
        <w:rPr>
          <w:rFonts w:hint="eastAsia" w:ascii="Times New Roman" w:hAnsi="Times New Roman" w:eastAsia="仿宋_GB2312" w:cs="Times New Roman"/>
          <w:kern w:val="0"/>
          <w:sz w:val="32"/>
          <w:szCs w:val="32"/>
          <w:highlight w:val="none"/>
          <w:lang w:val="en-US" w:eastAsia="zh-CN"/>
        </w:rPr>
        <w:t>。</w:t>
      </w:r>
    </w:p>
    <w:p w14:paraId="70269BA1">
      <w:pPr>
        <w:numPr>
          <w:ilvl w:val="0"/>
          <w:numId w:val="2"/>
        </w:numPr>
        <w:autoSpaceDE w:val="0"/>
        <w:autoSpaceDN w:val="0"/>
        <w:adjustRightInd w:val="0"/>
        <w:ind w:firstLine="640" w:firstLineChars="200"/>
        <w:jc w:val="left"/>
        <w:rPr>
          <w:rFonts w:ascii="Times New Roman" w:hAnsi="Times New Roman" w:eastAsia="楷体_GB2312" w:cs="Times New Roman"/>
          <w:b/>
          <w:bCs/>
          <w:color w:val="auto"/>
          <w:kern w:val="2"/>
          <w:sz w:val="32"/>
          <w:szCs w:val="32"/>
          <w:highlight w:val="none"/>
        </w:rPr>
      </w:pPr>
      <w:r>
        <w:rPr>
          <w:rFonts w:ascii="Times New Roman" w:hAnsi="Times New Roman" w:eastAsia="楷体_GB2312" w:cs="Times New Roman"/>
          <w:b/>
          <w:bCs/>
          <w:color w:val="auto"/>
          <w:kern w:val="2"/>
          <w:sz w:val="32"/>
          <w:szCs w:val="32"/>
          <w:highlight w:val="none"/>
        </w:rPr>
        <w:t>评价结果应用情况</w:t>
      </w:r>
    </w:p>
    <w:p w14:paraId="692801AC">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jc w:val="left"/>
        <w:textAlignment w:val="auto"/>
        <w:rPr>
          <w:rFonts w:hint="eastAsia" w:ascii="仿宋_GB2312" w:hAnsi="仿宋_GB2312" w:eastAsia="仿宋_GB2312" w:cs="仿宋_GB2312"/>
          <w:color w:val="auto"/>
          <w:kern w:val="0"/>
          <w:sz w:val="32"/>
          <w:szCs w:val="32"/>
          <w:lang w:val="en-US" w:eastAsia="zh-CN" w:bidi="ar-SA"/>
        </w:rPr>
      </w:pPr>
      <w:r>
        <w:rPr>
          <w:rFonts w:hint="eastAsia" w:ascii="仿宋_GB2312" w:hAnsi="仿宋_GB2312" w:eastAsia="仿宋_GB2312" w:cs="仿宋_GB2312"/>
          <w:color w:val="auto"/>
          <w:kern w:val="0"/>
          <w:sz w:val="32"/>
          <w:szCs w:val="32"/>
          <w:lang w:val="en-US" w:eastAsia="zh-CN" w:bidi="ar-SA"/>
        </w:rPr>
        <w:t>根据我中心2025年度开展的绩效自评、部门评价以及事前绩效评价结果，为切实将绩效管理落到实处，提高财政资金使用效益，现就评价结果在2026年度预算安排、支出结构调整、资金管理和制度建设等方面的运用情况说明如下：</w:t>
      </w:r>
    </w:p>
    <w:p w14:paraId="0BA4BE9D">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jc w:val="left"/>
        <w:textAlignment w:val="auto"/>
        <w:rPr>
          <w:rFonts w:hint="eastAsia" w:ascii="仿宋_GB2312" w:hAnsi="仿宋_GB2312" w:eastAsia="仿宋_GB2312" w:cs="仿宋_GB2312"/>
          <w:color w:val="auto"/>
          <w:kern w:val="0"/>
          <w:sz w:val="32"/>
          <w:szCs w:val="32"/>
          <w:lang w:val="en-US" w:eastAsia="zh-CN" w:bidi="ar-SA"/>
        </w:rPr>
      </w:pPr>
      <w:r>
        <w:rPr>
          <w:rFonts w:hint="eastAsia" w:ascii="仿宋_GB2312" w:hAnsi="仿宋_GB2312" w:eastAsia="仿宋_GB2312" w:cs="仿宋_GB2312"/>
          <w:color w:val="auto"/>
          <w:kern w:val="0"/>
          <w:sz w:val="32"/>
          <w:szCs w:val="32"/>
          <w:lang w:val="en-US" w:eastAsia="zh-CN" w:bidi="ar-SA"/>
        </w:rPr>
        <w:t>1.运用于2026年度预算安排：一是优化增量资金分配： 对于2025年度绩效自评和部门评价结果优良的项目，在2026年度预算安排中予以优先保障或适度增加预算额度，确保高效项目持续发挥效益；二是压减或取消低效无效支出：对评价中发现实施效果不佳、绩效目标完成度差、与当前核心职能关联度不高的项目（如部分内容重复的专项调研、效益不明显的零星工程），在2026年度预算编制中予以大幅压减或不再安排预算。三是强化项目入库论证： 将“事前绩效评价”结果作为项目入库的前置条件。对于2026年拟新增的重大项目，严格依据事前评价结论进行决策。评价结果为“优”或“良”的项目方可优先纳入项目库并申请预算；评价结果为“中”的项目需优化方案后重新报审；评价结果为“差”的项目一律不予安排预算。</w:t>
      </w:r>
    </w:p>
    <w:p w14:paraId="0AC8CC92">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jc w:val="left"/>
        <w:textAlignment w:val="auto"/>
        <w:rPr>
          <w:rFonts w:hint="eastAsia" w:ascii="仿宋_GB2312" w:hAnsi="仿宋_GB2312" w:eastAsia="仿宋_GB2312" w:cs="仿宋_GB2312"/>
          <w:color w:val="auto"/>
          <w:kern w:val="0"/>
          <w:sz w:val="32"/>
          <w:szCs w:val="32"/>
          <w:lang w:val="en-US" w:eastAsia="zh-CN" w:bidi="ar-SA"/>
        </w:rPr>
      </w:pPr>
      <w:r>
        <w:rPr>
          <w:rFonts w:hint="eastAsia" w:ascii="仿宋_GB2312" w:hAnsi="仿宋_GB2312" w:eastAsia="仿宋_GB2312" w:cs="仿宋_GB2312"/>
          <w:color w:val="auto"/>
          <w:kern w:val="0"/>
          <w:sz w:val="32"/>
          <w:szCs w:val="32"/>
          <w:lang w:val="en-US" w:eastAsia="zh-CN" w:bidi="ar-SA"/>
        </w:rPr>
        <w:t>2.运用于支出结构调整：向重点领域和薄弱环节倾斜：根据评价结果反映出的问题，优化内部支出结构。例如，针对部分路段养护不及时、应急保障能力不足等评价中指出的薄弱环节，在2026年度预算中适当增加“日常预防性养护”和“应急抢险设备购置与维护”方面的支出占比。</w:t>
      </w:r>
    </w:p>
    <w:p w14:paraId="268D9DFB">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jc w:val="left"/>
        <w:textAlignment w:val="auto"/>
        <w:rPr>
          <w:rFonts w:hint="eastAsia" w:ascii="仿宋_GB2312" w:hAnsi="仿宋_GB2312" w:eastAsia="仿宋_GB2312" w:cs="仿宋_GB2312"/>
          <w:color w:val="auto"/>
          <w:kern w:val="0"/>
          <w:sz w:val="32"/>
          <w:szCs w:val="32"/>
          <w:lang w:val="en-US" w:eastAsia="zh-CN" w:bidi="ar-SA"/>
        </w:rPr>
      </w:pPr>
      <w:r>
        <w:rPr>
          <w:rFonts w:hint="eastAsia" w:ascii="仿宋_GB2312" w:hAnsi="仿宋_GB2312" w:eastAsia="仿宋_GB2312" w:cs="仿宋_GB2312"/>
          <w:color w:val="auto"/>
          <w:kern w:val="0"/>
          <w:sz w:val="32"/>
          <w:szCs w:val="32"/>
          <w:lang w:val="en-US" w:eastAsia="zh-CN" w:bidi="ar-SA"/>
        </w:rPr>
        <w:t>3.运用于资金管理：一是加快预算执行进度：针对评价中发现的个别项目预算执行偏慢问题，2026年将进一步加强预算执行监控，建立“预算执行预警机制”，按月通报执行情况，压实各部门主体责任，确保资金及时形成实际支出和实物工作量；二是强化资金使用合规性：对照评价中提示的财务管理和资金使用风险点，2026年将严格资金支付审批流程，加强对工程项目合同、政府采购、费用报销等环节的审核，确保资金使用安全、规范、透明。</w:t>
      </w:r>
    </w:p>
    <w:p w14:paraId="308C5868">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jc w:val="left"/>
        <w:textAlignment w:val="auto"/>
        <w:rPr>
          <w:rFonts w:hint="eastAsia" w:ascii="仿宋_GB2312" w:hAnsi="仿宋_GB2312" w:eastAsia="仿宋_GB2312" w:cs="仿宋_GB2312"/>
          <w:color w:val="auto"/>
          <w:kern w:val="0"/>
          <w:sz w:val="32"/>
          <w:szCs w:val="32"/>
          <w:lang w:val="en-US" w:eastAsia="zh-CN" w:bidi="ar-SA"/>
        </w:rPr>
      </w:pPr>
      <w:r>
        <w:rPr>
          <w:rFonts w:hint="eastAsia" w:ascii="仿宋_GB2312" w:hAnsi="仿宋_GB2312" w:eastAsia="仿宋_GB2312" w:cs="仿宋_GB2312"/>
          <w:color w:val="auto"/>
          <w:kern w:val="0"/>
          <w:sz w:val="32"/>
          <w:szCs w:val="32"/>
          <w:lang w:val="en-US" w:eastAsia="zh-CN" w:bidi="ar-SA"/>
        </w:rPr>
        <w:t>4.运用于制度建设：一是完善内部绩效管理办法：根据2025年度绩效评价工作中积累的经验和暴露的不足，进一步明确各环节责任分工、操作流程和考核标准，使绩效管理更具可操作性；二是建立绩效评价结果与考核挂钩机制：将各项目、各科室的绩效评价结果纳入年度工作考核体系，与评优评先、绩效奖励等适度挂钩，增强全员绩效意识，形成“讲绩效、重绩效、用绩效”的良好氛围；三是健全项目全过程管理机制：强化绩效目标管理，要求所有申报项目必须设定清晰、可衡量的绩效目标。加强事中绩效监控，对偏离绩效目标的情况及时预警和纠偏。将绩效评价结果作为以后年度项目设立和预算安排的重要依据，形成管理闭环。</w:t>
      </w:r>
    </w:p>
    <w:p w14:paraId="2E1CBAA7">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jc w:val="left"/>
        <w:textAlignment w:val="auto"/>
        <w:rPr>
          <w:rFonts w:hint="eastAsia" w:ascii="仿宋_GB2312" w:hAnsi="仿宋_GB2312" w:eastAsia="仿宋_GB2312" w:cs="仿宋_GB2312"/>
          <w:color w:val="auto"/>
          <w:kern w:val="0"/>
          <w:sz w:val="32"/>
          <w:szCs w:val="32"/>
          <w:lang w:val="en-US" w:eastAsia="zh-CN" w:bidi="ar-SA"/>
        </w:rPr>
      </w:pPr>
      <w:r>
        <w:rPr>
          <w:rFonts w:hint="eastAsia" w:ascii="仿宋_GB2312" w:hAnsi="仿宋_GB2312" w:eastAsia="仿宋_GB2312" w:cs="仿宋_GB2312"/>
          <w:color w:val="auto"/>
          <w:kern w:val="0"/>
          <w:sz w:val="32"/>
          <w:szCs w:val="32"/>
          <w:lang w:val="en-US" w:eastAsia="zh-CN" w:bidi="ar-SA"/>
        </w:rPr>
        <w:t>总之，我中心将高度重视并充分运用2025年度各项绩效评价结果，将其作为改进管理、提升效能的重要抓手，切实优化2026年及今后的资源配置和管理模式，推动公路建设与养护事业实现更高质量、更有效益、更可持续的发展。</w:t>
      </w:r>
    </w:p>
    <w:p w14:paraId="4B5D1FDF">
      <w:pPr>
        <w:autoSpaceDE w:val="0"/>
        <w:autoSpaceDN w:val="0"/>
        <w:adjustRightInd w:val="0"/>
        <w:ind w:firstLine="640" w:firstLineChars="200"/>
        <w:jc w:val="left"/>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预算绩效管理开展情况、绩效目标和绩效评价报告等，已在市政府部门财政预决算公开平台上向社会公开，详见附件。</w:t>
      </w:r>
    </w:p>
    <w:p w14:paraId="07F510A0">
      <w:pPr>
        <w:pStyle w:val="2"/>
        <w:rPr>
          <w:rFonts w:hint="eastAsia"/>
          <w:lang w:val="en-US" w:eastAsia="zh-CN"/>
        </w:rPr>
      </w:pPr>
    </w:p>
    <w:p w14:paraId="10943874">
      <w:pPr>
        <w:numPr>
          <w:ilvl w:val="0"/>
          <w:numId w:val="0"/>
        </w:numPr>
        <w:autoSpaceDE w:val="0"/>
        <w:autoSpaceDN w:val="0"/>
        <w:adjustRightInd w:val="0"/>
        <w:jc w:val="left"/>
        <w:rPr>
          <w:rFonts w:hint="eastAsia" w:ascii="楷体" w:hAnsi="楷体" w:eastAsia="楷体" w:cs="楷体"/>
          <w:b/>
          <w:bCs/>
          <w:i w:val="0"/>
          <w:iCs w:val="0"/>
          <w:color w:val="FF0000"/>
          <w:kern w:val="0"/>
          <w:sz w:val="36"/>
          <w:szCs w:val="36"/>
          <w:lang w:val="en-US" w:eastAsia="zh-CN"/>
        </w:rPr>
      </w:pPr>
    </w:p>
    <w:p w14:paraId="6326A98D">
      <w:pPr>
        <w:pStyle w:val="13"/>
        <w:jc w:val="both"/>
        <w:rPr>
          <w:rFonts w:hint="eastAsia" w:ascii="方正小标宋_GBK" w:hAnsi="方正小标宋_GBK" w:eastAsia="方正小标宋_GBK" w:cs="方正小标宋_GBK"/>
          <w:sz w:val="24"/>
          <w:szCs w:val="24"/>
        </w:rPr>
      </w:pPr>
    </w:p>
    <w:p w14:paraId="57CD8433">
      <w:pPr>
        <w:pStyle w:val="13"/>
        <w:jc w:val="center"/>
        <w:rPr>
          <w:rFonts w:hint="eastAsia" w:ascii="方正小标宋_GBK" w:hAnsi="方正小标宋_GBK" w:eastAsia="方正小标宋_GBK" w:cs="方正小标宋_GBK"/>
          <w:sz w:val="72"/>
          <w:szCs w:val="72"/>
        </w:rPr>
      </w:pPr>
    </w:p>
    <w:p w14:paraId="686C66AD">
      <w:pPr>
        <w:pStyle w:val="13"/>
        <w:jc w:val="center"/>
        <w:rPr>
          <w:rFonts w:hint="eastAsia" w:ascii="方正小标宋_GBK" w:hAnsi="方正小标宋_GBK" w:eastAsia="方正小标宋_GBK" w:cs="方正小标宋_GBK"/>
          <w:sz w:val="72"/>
          <w:szCs w:val="72"/>
        </w:rPr>
      </w:pPr>
    </w:p>
    <w:p w14:paraId="34801324">
      <w:pPr>
        <w:pStyle w:val="13"/>
        <w:jc w:val="center"/>
        <w:rPr>
          <w:rFonts w:hint="eastAsia" w:ascii="方正小标宋_GBK" w:hAnsi="方正小标宋_GBK" w:eastAsia="方正小标宋_GBK" w:cs="方正小标宋_GBK"/>
          <w:sz w:val="72"/>
          <w:szCs w:val="72"/>
        </w:rPr>
      </w:pPr>
    </w:p>
    <w:p w14:paraId="0865C629">
      <w:pPr>
        <w:pStyle w:val="13"/>
        <w:jc w:val="center"/>
        <w:rPr>
          <w:rFonts w:hint="eastAsia" w:ascii="方正小标宋_GBK" w:hAnsi="方正小标宋_GBK" w:eastAsia="方正小标宋_GBK" w:cs="方正小标宋_GBK"/>
          <w:sz w:val="72"/>
          <w:szCs w:val="72"/>
        </w:rPr>
      </w:pPr>
    </w:p>
    <w:p w14:paraId="68FA91E1">
      <w:pPr>
        <w:pStyle w:val="13"/>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第四部分</w:t>
      </w:r>
    </w:p>
    <w:p w14:paraId="72F86729">
      <w:pPr>
        <w:jc w:val="center"/>
        <w:rPr>
          <w:rFonts w:hint="eastAsia" w:ascii="方正小标宋_GBK" w:hAnsi="方正小标宋_GBK" w:eastAsia="方正小标宋_GBK" w:cs="方正小标宋_GBK"/>
          <w:color w:val="000000"/>
          <w:kern w:val="0"/>
          <w:sz w:val="70"/>
          <w:szCs w:val="70"/>
        </w:rPr>
      </w:pPr>
    </w:p>
    <w:p w14:paraId="6BB03DAA">
      <w:pPr>
        <w:pStyle w:val="13"/>
        <w:jc w:val="center"/>
        <w:rPr>
          <w:rFonts w:hint="eastAsia" w:ascii="方正小标宋_GBK" w:hAnsi="方正小标宋_GBK" w:eastAsia="方正小标宋_GBK" w:cs="方正小标宋_GBK"/>
          <w:sz w:val="70"/>
          <w:szCs w:val="70"/>
          <w:lang w:eastAsia="zh-CN"/>
        </w:rPr>
      </w:pPr>
      <w:r>
        <w:rPr>
          <w:rFonts w:hint="eastAsia" w:ascii="方正小标宋_GBK" w:hAnsi="方正小标宋_GBK" w:eastAsia="方正小标宋_GBK" w:cs="方正小标宋_GBK"/>
          <w:color w:val="000000"/>
          <w:kern w:val="0"/>
          <w:sz w:val="70"/>
          <w:szCs w:val="70"/>
        </w:rPr>
        <w:t>名词解释</w:t>
      </w:r>
    </w:p>
    <w:p w14:paraId="3B89E992">
      <w:pPr>
        <w:pStyle w:val="2"/>
      </w:pPr>
    </w:p>
    <w:p w14:paraId="4A6582CB">
      <w:pPr>
        <w:pStyle w:val="3"/>
      </w:pPr>
    </w:p>
    <w:p w14:paraId="6B7A0823"/>
    <w:p w14:paraId="6DEFC51D">
      <w:pPr>
        <w:pStyle w:val="2"/>
      </w:pPr>
    </w:p>
    <w:p w14:paraId="420690E7">
      <w:pPr>
        <w:pStyle w:val="3"/>
      </w:pPr>
    </w:p>
    <w:p w14:paraId="7BA40D84"/>
    <w:p w14:paraId="0E6D8B31">
      <w:pPr>
        <w:pStyle w:val="2"/>
      </w:pPr>
    </w:p>
    <w:p w14:paraId="2BF5D831">
      <w:pPr>
        <w:pStyle w:val="3"/>
      </w:pPr>
    </w:p>
    <w:p w14:paraId="3FC41EEC"/>
    <w:p w14:paraId="3A290D68">
      <w:pPr>
        <w:pStyle w:val="2"/>
      </w:pPr>
    </w:p>
    <w:p w14:paraId="33F6505A">
      <w:pPr>
        <w:pStyle w:val="3"/>
      </w:pPr>
    </w:p>
    <w:p w14:paraId="0C6C74E4"/>
    <w:p w14:paraId="00315CB0">
      <w:pPr>
        <w:pStyle w:val="2"/>
      </w:pPr>
    </w:p>
    <w:p w14:paraId="28C507A7">
      <w:pPr>
        <w:pStyle w:val="3"/>
      </w:pPr>
    </w:p>
    <w:p w14:paraId="035F3914"/>
    <w:p w14:paraId="16C929DE">
      <w:pPr>
        <w:pStyle w:val="2"/>
      </w:pPr>
    </w:p>
    <w:p w14:paraId="4CB97B6C">
      <w:pPr>
        <w:ind w:firstLine="640" w:firstLineChars="200"/>
        <w:jc w:val="left"/>
        <w:rPr>
          <w:rFonts w:hint="eastAsia" w:ascii="仿宋_GB2312" w:hAnsi="仿宋_GB2312" w:eastAsia="仿宋_GB2312" w:cs="仿宋_GB2312"/>
          <w:color w:val="000000"/>
          <w:kern w:val="0"/>
          <w:sz w:val="32"/>
          <w:szCs w:val="32"/>
        </w:rPr>
      </w:pPr>
    </w:p>
    <w:p w14:paraId="5DEDA9E2">
      <w:pPr>
        <w:ind w:firstLine="640" w:firstLineChars="200"/>
        <w:jc w:val="left"/>
        <w:rPr>
          <w:rFonts w:hint="eastAsia" w:ascii="仿宋_GB2312" w:hAnsi="仿宋_GB2312" w:eastAsia="仿宋_GB2312" w:cs="仿宋_GB2312"/>
          <w:color w:val="000000"/>
          <w:kern w:val="0"/>
          <w:sz w:val="32"/>
          <w:szCs w:val="32"/>
        </w:rPr>
      </w:pPr>
    </w:p>
    <w:p w14:paraId="619D6742">
      <w:pPr>
        <w:ind w:firstLine="640" w:firstLineChars="200"/>
        <w:jc w:val="left"/>
        <w:rPr>
          <w:rFonts w:hint="eastAsia" w:ascii="仿宋_GB2312" w:hAnsi="仿宋_GB2312" w:eastAsia="仿宋_GB2312" w:cs="仿宋_GB2312"/>
          <w:color w:val="000000"/>
          <w:kern w:val="0"/>
          <w:sz w:val="32"/>
          <w:szCs w:val="32"/>
        </w:rPr>
      </w:pPr>
    </w:p>
    <w:p w14:paraId="3417DB6A">
      <w:pPr>
        <w:pStyle w:val="2"/>
        <w:rPr>
          <w:rFonts w:hint="eastAsia"/>
        </w:rPr>
      </w:pPr>
    </w:p>
    <w:p w14:paraId="1E927FF2">
      <w:pPr>
        <w:ind w:firstLine="640" w:firstLineChars="200"/>
        <w:jc w:val="left"/>
        <w:rPr>
          <w:rFonts w:hint="eastAsia" w:ascii="仿宋_GB2312" w:hAnsi="仿宋_GB2312" w:eastAsia="仿宋_GB2312" w:cs="仿宋_GB2312"/>
          <w:color w:val="000000"/>
          <w:kern w:val="0"/>
          <w:sz w:val="32"/>
          <w:szCs w:val="32"/>
        </w:rPr>
      </w:pPr>
    </w:p>
    <w:p w14:paraId="4AEE9754">
      <w:pPr>
        <w:ind w:firstLine="640" w:firstLineChars="200"/>
        <w:jc w:val="left"/>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一、“三公”经费：指用财政拨款安排的因公出国（境）费、公务用车购置及运行费和公务接待费。其中，因公出国（境）费反映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14:paraId="7608C6AB">
      <w:pPr>
        <w:ind w:firstLine="640" w:firstLineChars="200"/>
        <w:jc w:val="left"/>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二、机关运行经费</w:t>
      </w:r>
      <w:r>
        <w:rPr>
          <w:rFonts w:hint="eastAsia" w:ascii="仿宋_GB2312" w:hAnsi="仿宋_GB2312" w:eastAsia="仿宋_GB2312" w:cs="仿宋_GB2312"/>
          <w:color w:val="000000"/>
          <w:kern w:val="0"/>
          <w:sz w:val="32"/>
          <w:szCs w:val="32"/>
          <w:lang w:eastAsia="zh-CN"/>
        </w:rPr>
        <w:t>，指为保障行政单位（包括参照公务员法管理的事业单位）运行用于购买货物和服务的各项资金</w:t>
      </w:r>
      <w:r>
        <w:rPr>
          <w:rFonts w:hint="eastAsia" w:ascii="仿宋_GB2312" w:hAnsi="仿宋_GB2312" w:eastAsia="仿宋_GB2312" w:cs="仿宋_GB2312"/>
          <w:color w:val="000000"/>
          <w:kern w:val="0"/>
          <w:sz w:val="32"/>
          <w:szCs w:val="32"/>
        </w:rPr>
        <w:t>，包括办公</w:t>
      </w:r>
      <w:r>
        <w:rPr>
          <w:rFonts w:hint="eastAsia" w:ascii="仿宋_GB2312" w:hAnsi="仿宋_GB2312" w:eastAsia="仿宋_GB2312" w:cs="仿宋_GB2312"/>
          <w:color w:val="000000"/>
          <w:kern w:val="0"/>
          <w:sz w:val="32"/>
          <w:szCs w:val="32"/>
          <w:lang w:eastAsia="zh-CN"/>
        </w:rPr>
        <w:t>费、</w:t>
      </w:r>
      <w:r>
        <w:rPr>
          <w:rFonts w:hint="eastAsia" w:ascii="仿宋_GB2312" w:hAnsi="仿宋_GB2312" w:eastAsia="仿宋_GB2312" w:cs="仿宋_GB2312"/>
          <w:color w:val="000000"/>
          <w:kern w:val="0"/>
          <w:sz w:val="32"/>
          <w:szCs w:val="32"/>
        </w:rPr>
        <w:t>印刷费、邮电费、差旅费、会议费、日常维修费、专用材料及一般设备购置费、办公用房水电费、办公用房取暖费、办公用房物业管理费、公务用车运行维护费以及其他费用。</w:t>
      </w:r>
    </w:p>
    <w:p w14:paraId="2261B381">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仿宋_GB2312" w:hAnsi="仿宋_GB2312" w:eastAsia="仿宋_GB2312" w:cs="仿宋_GB2312"/>
          <w:b/>
          <w:bCs/>
          <w:i/>
          <w:color w:val="FF0000"/>
          <w:kern w:val="0"/>
          <w:sz w:val="32"/>
          <w:szCs w:val="32"/>
          <w:lang w:val="en-US" w:eastAsia="zh-CN" w:bidi="ar-SA"/>
        </w:rPr>
      </w:pPr>
    </w:p>
    <w:p w14:paraId="7D366296">
      <w:pPr>
        <w:pStyle w:val="13"/>
        <w:jc w:val="center"/>
        <w:rPr>
          <w:rFonts w:hint="eastAsia" w:ascii="仿宋_GB2312" w:hAnsi="仿宋_GB2312" w:eastAsia="仿宋_GB2312" w:cs="仿宋_GB2312"/>
          <w:sz w:val="32"/>
          <w:szCs w:val="32"/>
        </w:rPr>
      </w:pPr>
    </w:p>
    <w:p w14:paraId="5B79F6C1">
      <w:pPr>
        <w:pStyle w:val="3"/>
      </w:pPr>
    </w:p>
    <w:p w14:paraId="5E98DBE3"/>
    <w:p w14:paraId="7BC1E79E">
      <w:pPr>
        <w:pStyle w:val="2"/>
      </w:pPr>
    </w:p>
    <w:p w14:paraId="0F1457B4">
      <w:pPr>
        <w:pStyle w:val="3"/>
      </w:pPr>
    </w:p>
    <w:p w14:paraId="436734F4"/>
    <w:p w14:paraId="4331DD94">
      <w:pPr>
        <w:pStyle w:val="2"/>
      </w:pPr>
    </w:p>
    <w:p w14:paraId="692EA7BB">
      <w:pPr>
        <w:pStyle w:val="3"/>
      </w:pPr>
    </w:p>
    <w:p w14:paraId="0BE6B0B4"/>
    <w:p w14:paraId="5F09A9BE">
      <w:pPr>
        <w:pStyle w:val="2"/>
      </w:pPr>
    </w:p>
    <w:p w14:paraId="62E629D0">
      <w:pPr>
        <w:pStyle w:val="3"/>
      </w:pPr>
    </w:p>
    <w:p w14:paraId="1D62814B"/>
    <w:p w14:paraId="26CB4F3D">
      <w:pPr>
        <w:pStyle w:val="2"/>
      </w:pPr>
    </w:p>
    <w:p w14:paraId="1D3881F5">
      <w:pPr>
        <w:pStyle w:val="3"/>
      </w:pPr>
    </w:p>
    <w:p w14:paraId="1960AE08"/>
    <w:p w14:paraId="5E85F678">
      <w:pPr>
        <w:pStyle w:val="2"/>
      </w:pPr>
    </w:p>
    <w:p w14:paraId="3D7E837B">
      <w:pPr>
        <w:pStyle w:val="3"/>
      </w:pPr>
    </w:p>
    <w:p w14:paraId="27BD412A"/>
    <w:p w14:paraId="212A62E4">
      <w:pPr>
        <w:pStyle w:val="2"/>
      </w:pPr>
    </w:p>
    <w:p w14:paraId="3F576FA0">
      <w:pPr>
        <w:pStyle w:val="3"/>
      </w:pPr>
    </w:p>
    <w:p w14:paraId="557FC9E1"/>
    <w:p w14:paraId="1AD420DF"/>
    <w:p w14:paraId="7D2D1025">
      <w:pPr>
        <w:pStyle w:val="2"/>
      </w:pPr>
    </w:p>
    <w:p w14:paraId="5D655505">
      <w:pPr>
        <w:pStyle w:val="13"/>
        <w:jc w:val="both"/>
        <w:rPr>
          <w:rFonts w:hint="eastAsia" w:ascii="方正小标宋_GBK" w:hAnsi="方正小标宋_GBK" w:eastAsia="方正小标宋_GBK" w:cs="方正小标宋_GBK"/>
          <w:sz w:val="72"/>
          <w:szCs w:val="72"/>
        </w:rPr>
      </w:pPr>
    </w:p>
    <w:p w14:paraId="46674274">
      <w:pPr>
        <w:pStyle w:val="13"/>
        <w:jc w:val="center"/>
        <w:rPr>
          <w:rFonts w:hint="eastAsia" w:ascii="方正小标宋_GBK" w:hAnsi="方正小标宋_GBK" w:eastAsia="方正小标宋_GBK" w:cs="方正小标宋_GBK"/>
          <w:sz w:val="70"/>
          <w:szCs w:val="70"/>
        </w:rPr>
      </w:pPr>
      <w:r>
        <w:rPr>
          <w:rFonts w:hint="eastAsia" w:ascii="方正小标宋_GBK" w:hAnsi="方正小标宋_GBK" w:eastAsia="方正小标宋_GBK" w:cs="方正小标宋_GBK"/>
          <w:sz w:val="72"/>
          <w:szCs w:val="72"/>
        </w:rPr>
        <w:t>第</w:t>
      </w:r>
      <w:r>
        <w:rPr>
          <w:rFonts w:hint="eastAsia" w:ascii="方正小标宋_GBK" w:hAnsi="方正小标宋_GBK" w:eastAsia="方正小标宋_GBK" w:cs="方正小标宋_GBK"/>
          <w:sz w:val="72"/>
          <w:szCs w:val="72"/>
          <w:lang w:eastAsia="zh-CN"/>
        </w:rPr>
        <w:t>五</w:t>
      </w:r>
      <w:r>
        <w:rPr>
          <w:rFonts w:hint="eastAsia" w:ascii="方正小标宋_GBK" w:hAnsi="方正小标宋_GBK" w:eastAsia="方正小标宋_GBK" w:cs="方正小标宋_GBK"/>
          <w:sz w:val="72"/>
          <w:szCs w:val="72"/>
        </w:rPr>
        <w:t>部分</w:t>
      </w:r>
    </w:p>
    <w:p w14:paraId="4D25C49F">
      <w:pPr>
        <w:pStyle w:val="13"/>
        <w:jc w:val="both"/>
        <w:rPr>
          <w:rFonts w:hint="eastAsia" w:ascii="方正小标宋_GBK" w:hAnsi="方正小标宋_GBK" w:eastAsia="方正小标宋_GBK" w:cs="方正小标宋_GBK"/>
          <w:sz w:val="70"/>
          <w:szCs w:val="70"/>
          <w:lang w:eastAsia="zh-CN"/>
        </w:rPr>
      </w:pPr>
    </w:p>
    <w:p w14:paraId="37FD3465">
      <w:pPr>
        <w:pStyle w:val="13"/>
        <w:jc w:val="center"/>
        <w:rPr>
          <w:rFonts w:hint="eastAsia" w:ascii="方正小标宋_GBK" w:hAnsi="方正小标宋_GBK" w:eastAsia="方正小标宋_GBK" w:cs="方正小标宋_GBK"/>
          <w:sz w:val="70"/>
          <w:szCs w:val="70"/>
          <w:lang w:eastAsia="zh-CN"/>
        </w:rPr>
      </w:pPr>
      <w:r>
        <w:rPr>
          <w:rFonts w:hint="eastAsia" w:ascii="方正小标宋_GBK" w:hAnsi="方正小标宋_GBK" w:eastAsia="方正小标宋_GBK" w:cs="方正小标宋_GBK"/>
          <w:sz w:val="70"/>
          <w:szCs w:val="70"/>
          <w:lang w:eastAsia="zh-CN"/>
        </w:rPr>
        <w:t>附</w:t>
      </w:r>
      <w:r>
        <w:rPr>
          <w:rFonts w:hint="eastAsia" w:ascii="方正小标宋_GBK" w:hAnsi="方正小标宋_GBK" w:eastAsia="方正小标宋_GBK" w:cs="方正小标宋_GBK"/>
          <w:sz w:val="70"/>
          <w:szCs w:val="70"/>
          <w:lang w:val="en-US" w:eastAsia="zh-CN"/>
        </w:rPr>
        <w:t xml:space="preserve"> </w:t>
      </w:r>
      <w:r>
        <w:rPr>
          <w:rFonts w:hint="eastAsia" w:ascii="方正小标宋_GBK" w:hAnsi="方正小标宋_GBK" w:eastAsia="方正小标宋_GBK" w:cs="方正小标宋_GBK"/>
          <w:sz w:val="70"/>
          <w:szCs w:val="70"/>
          <w:lang w:eastAsia="zh-CN"/>
        </w:rPr>
        <w:t>件</w:t>
      </w:r>
    </w:p>
    <w:p w14:paraId="3AA1DE6F">
      <w:pPr>
        <w:ind w:firstLine="640" w:firstLineChars="200"/>
        <w:jc w:val="left"/>
        <w:rPr>
          <w:rFonts w:hint="eastAsia" w:ascii="宋体" w:hAnsi="宋体" w:eastAsia="宋体" w:cs="黑体"/>
          <w:b/>
          <w:color w:val="000000"/>
          <w:kern w:val="0"/>
          <w:sz w:val="32"/>
          <w:szCs w:val="32"/>
          <w:lang w:val="en-US" w:eastAsia="zh-CN"/>
        </w:rPr>
      </w:pPr>
    </w:p>
    <w:p w14:paraId="70BB5023">
      <w:pPr>
        <w:ind w:firstLine="640" w:firstLineChars="200"/>
        <w:jc w:val="left"/>
        <w:rPr>
          <w:rFonts w:hint="eastAsia" w:ascii="宋体" w:hAnsi="宋体" w:eastAsia="宋体" w:cs="黑体"/>
          <w:b/>
          <w:color w:val="000000"/>
          <w:kern w:val="0"/>
          <w:sz w:val="32"/>
          <w:szCs w:val="32"/>
          <w:lang w:val="en-US" w:eastAsia="zh-CN"/>
        </w:rPr>
      </w:pPr>
      <w:r>
        <w:rPr>
          <w:rFonts w:hint="eastAsia" w:ascii="宋体" w:hAnsi="宋体" w:eastAsia="宋体" w:cs="黑体"/>
          <w:b/>
          <w:color w:val="000000"/>
          <w:kern w:val="0"/>
          <w:sz w:val="32"/>
          <w:szCs w:val="32"/>
          <w:lang w:val="en-US" w:eastAsia="zh-CN"/>
        </w:rPr>
        <w:t>1、</w:t>
      </w:r>
      <w:r>
        <w:rPr>
          <w:rFonts w:hint="eastAsia" w:ascii="宋体" w:hAnsi="宋体" w:eastAsia="宋体" w:cs="黑体"/>
          <w:b/>
          <w:color w:val="000000"/>
          <w:kern w:val="0"/>
          <w:sz w:val="32"/>
          <w:szCs w:val="32"/>
          <w:highlight w:val="none"/>
          <w:lang w:val="en-US" w:eastAsia="zh-CN"/>
        </w:rPr>
        <w:t>2025年</w:t>
      </w:r>
      <w:r>
        <w:rPr>
          <w:rFonts w:hint="eastAsia" w:ascii="宋体" w:hAnsi="宋体" w:eastAsia="宋体" w:cs="黑体"/>
          <w:b/>
          <w:color w:val="000000"/>
          <w:kern w:val="0"/>
          <w:sz w:val="32"/>
          <w:szCs w:val="32"/>
          <w:lang w:val="en-US" w:eastAsia="zh-CN"/>
        </w:rPr>
        <w:t>部门决算公开表格</w:t>
      </w:r>
    </w:p>
    <w:p w14:paraId="636E2E98">
      <w:pPr>
        <w:ind w:firstLine="640" w:firstLineChars="200"/>
        <w:jc w:val="left"/>
        <w:rPr>
          <w:rFonts w:ascii="宋体" w:hAnsi="宋体" w:eastAsia="宋体" w:cs="黑体"/>
          <w:color w:val="000000"/>
          <w:kern w:val="0"/>
          <w:sz w:val="32"/>
          <w:szCs w:val="32"/>
        </w:rPr>
      </w:pPr>
      <w:r>
        <w:rPr>
          <w:rFonts w:hint="eastAsia" w:ascii="宋体" w:hAnsi="宋体" w:eastAsia="宋体" w:cs="黑体"/>
          <w:b/>
          <w:color w:val="000000"/>
          <w:kern w:val="0"/>
          <w:sz w:val="32"/>
          <w:szCs w:val="32"/>
          <w:lang w:val="en-US" w:eastAsia="zh-CN"/>
        </w:rPr>
        <w:t>2、</w:t>
      </w:r>
      <w:r>
        <w:rPr>
          <w:rFonts w:hint="eastAsia" w:ascii="宋体" w:hAnsi="宋体" w:eastAsia="宋体" w:cs="黑体"/>
          <w:b/>
          <w:color w:val="000000"/>
          <w:kern w:val="0"/>
          <w:sz w:val="32"/>
          <w:szCs w:val="32"/>
          <w:highlight w:val="none"/>
          <w:lang w:eastAsia="zh-CN"/>
        </w:rPr>
        <w:t>2025年</w:t>
      </w:r>
      <w:r>
        <w:rPr>
          <w:rFonts w:hint="eastAsia" w:ascii="宋体" w:hAnsi="宋体" w:eastAsia="宋体" w:cs="黑体"/>
          <w:b/>
          <w:color w:val="000000"/>
          <w:kern w:val="0"/>
          <w:sz w:val="32"/>
          <w:szCs w:val="32"/>
        </w:rPr>
        <w:t>度部门整体支出绩效评价报告</w:t>
      </w:r>
    </w:p>
    <w:p w14:paraId="0D60F05A"/>
    <w:sectPr>
      <w:pgSz w:w="11906" w:h="16838"/>
      <w:pgMar w:top="720" w:right="720" w:bottom="720" w:left="720"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altName w:val="微软雅黑"/>
    <w:panose1 w:val="02000000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KSOF8080F95D">
    <w:panose1 w:val="020B0503020204020204"/>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仿宋_GB2312">
    <w:altName w:val="仿宋"/>
    <w:panose1 w:val="00000000000000000000"/>
    <w:charset w:val="00"/>
    <w:family w:val="auto"/>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EDECFD4"/>
    <w:multiLevelType w:val="singleLevel"/>
    <w:tmpl w:val="8EDECFD4"/>
    <w:lvl w:ilvl="0" w:tentative="0">
      <w:start w:val="3"/>
      <w:numFmt w:val="chineseCounting"/>
      <w:suff w:val="nothing"/>
      <w:lvlText w:val="（%1）"/>
      <w:lvlJc w:val="left"/>
      <w:rPr>
        <w:rFonts w:hint="eastAsia"/>
      </w:rPr>
    </w:lvl>
  </w:abstractNum>
  <w:abstractNum w:abstractNumId="1">
    <w:nsid w:val="373518C1"/>
    <w:multiLevelType w:val="multilevel"/>
    <w:tmpl w:val="373518C1"/>
    <w:lvl w:ilvl="0" w:tentative="0">
      <w:start w:val="1"/>
      <w:numFmt w:val="none"/>
      <w:lvlText w:val="一、"/>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9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F9"/>
    <w:rsid w:val="0002229B"/>
    <w:rsid w:val="000273BD"/>
    <w:rsid w:val="00040CBC"/>
    <w:rsid w:val="000415B7"/>
    <w:rsid w:val="00041E3F"/>
    <w:rsid w:val="00055DAA"/>
    <w:rsid w:val="00061F7B"/>
    <w:rsid w:val="000658A3"/>
    <w:rsid w:val="00074155"/>
    <w:rsid w:val="000A3F69"/>
    <w:rsid w:val="00103957"/>
    <w:rsid w:val="00152C6D"/>
    <w:rsid w:val="00162D39"/>
    <w:rsid w:val="001678BD"/>
    <w:rsid w:val="00182373"/>
    <w:rsid w:val="001A67DB"/>
    <w:rsid w:val="001C3C29"/>
    <w:rsid w:val="001D51E5"/>
    <w:rsid w:val="001E080D"/>
    <w:rsid w:val="001E53D0"/>
    <w:rsid w:val="001F0C3B"/>
    <w:rsid w:val="00202C82"/>
    <w:rsid w:val="00214427"/>
    <w:rsid w:val="00226CB7"/>
    <w:rsid w:val="00264552"/>
    <w:rsid w:val="00264EF9"/>
    <w:rsid w:val="00265724"/>
    <w:rsid w:val="0027426B"/>
    <w:rsid w:val="002E0A30"/>
    <w:rsid w:val="003130C4"/>
    <w:rsid w:val="00316C4B"/>
    <w:rsid w:val="0032192B"/>
    <w:rsid w:val="003479BD"/>
    <w:rsid w:val="0037197D"/>
    <w:rsid w:val="003768D5"/>
    <w:rsid w:val="003926B9"/>
    <w:rsid w:val="003C47E6"/>
    <w:rsid w:val="003C4FC2"/>
    <w:rsid w:val="00416E61"/>
    <w:rsid w:val="0042790C"/>
    <w:rsid w:val="004506F9"/>
    <w:rsid w:val="004717A2"/>
    <w:rsid w:val="00473DF3"/>
    <w:rsid w:val="00487911"/>
    <w:rsid w:val="00491741"/>
    <w:rsid w:val="004B0CEE"/>
    <w:rsid w:val="00500E5F"/>
    <w:rsid w:val="005122EF"/>
    <w:rsid w:val="0051441A"/>
    <w:rsid w:val="00517C33"/>
    <w:rsid w:val="00517D5F"/>
    <w:rsid w:val="00523644"/>
    <w:rsid w:val="0054069E"/>
    <w:rsid w:val="00544866"/>
    <w:rsid w:val="005767CC"/>
    <w:rsid w:val="00590D9F"/>
    <w:rsid w:val="00595D26"/>
    <w:rsid w:val="005A74E6"/>
    <w:rsid w:val="005B404E"/>
    <w:rsid w:val="005D4D55"/>
    <w:rsid w:val="005E2CFB"/>
    <w:rsid w:val="005F2103"/>
    <w:rsid w:val="005F3D1C"/>
    <w:rsid w:val="0062378F"/>
    <w:rsid w:val="00641842"/>
    <w:rsid w:val="00651EEC"/>
    <w:rsid w:val="00686673"/>
    <w:rsid w:val="00691E8C"/>
    <w:rsid w:val="006A22C4"/>
    <w:rsid w:val="006A351B"/>
    <w:rsid w:val="006B0422"/>
    <w:rsid w:val="006C1B53"/>
    <w:rsid w:val="006D7730"/>
    <w:rsid w:val="006E5284"/>
    <w:rsid w:val="006F3EB5"/>
    <w:rsid w:val="00702E34"/>
    <w:rsid w:val="00704395"/>
    <w:rsid w:val="00710FE7"/>
    <w:rsid w:val="00717621"/>
    <w:rsid w:val="00720FF1"/>
    <w:rsid w:val="00727A53"/>
    <w:rsid w:val="00787B42"/>
    <w:rsid w:val="007C4539"/>
    <w:rsid w:val="007F3657"/>
    <w:rsid w:val="00812ED5"/>
    <w:rsid w:val="008277D9"/>
    <w:rsid w:val="0084478C"/>
    <w:rsid w:val="0086638C"/>
    <w:rsid w:val="008A3E8D"/>
    <w:rsid w:val="009237C4"/>
    <w:rsid w:val="00944C48"/>
    <w:rsid w:val="00950252"/>
    <w:rsid w:val="00967F5D"/>
    <w:rsid w:val="009A0F95"/>
    <w:rsid w:val="009B3ADF"/>
    <w:rsid w:val="009B4D8E"/>
    <w:rsid w:val="009C3B52"/>
    <w:rsid w:val="009E6817"/>
    <w:rsid w:val="009E6E9A"/>
    <w:rsid w:val="00A01D2B"/>
    <w:rsid w:val="00A42218"/>
    <w:rsid w:val="00A70249"/>
    <w:rsid w:val="00A70B02"/>
    <w:rsid w:val="00A71D9F"/>
    <w:rsid w:val="00A92E9F"/>
    <w:rsid w:val="00AB18FF"/>
    <w:rsid w:val="00B33BEA"/>
    <w:rsid w:val="00B57C9F"/>
    <w:rsid w:val="00B63572"/>
    <w:rsid w:val="00B845B3"/>
    <w:rsid w:val="00B85D8B"/>
    <w:rsid w:val="00BB4A40"/>
    <w:rsid w:val="00BD6C3E"/>
    <w:rsid w:val="00BE3674"/>
    <w:rsid w:val="00C10681"/>
    <w:rsid w:val="00C3049A"/>
    <w:rsid w:val="00C31B1E"/>
    <w:rsid w:val="00C77645"/>
    <w:rsid w:val="00CE04C3"/>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1675739"/>
    <w:rsid w:val="059958AD"/>
    <w:rsid w:val="062E4A77"/>
    <w:rsid w:val="06C857E7"/>
    <w:rsid w:val="075A189C"/>
    <w:rsid w:val="087B3DD5"/>
    <w:rsid w:val="08C24A73"/>
    <w:rsid w:val="091F4B4B"/>
    <w:rsid w:val="094B3B92"/>
    <w:rsid w:val="09694018"/>
    <w:rsid w:val="0F040A6B"/>
    <w:rsid w:val="11944E2C"/>
    <w:rsid w:val="12583BA5"/>
    <w:rsid w:val="13031039"/>
    <w:rsid w:val="13BA5B9C"/>
    <w:rsid w:val="188C387F"/>
    <w:rsid w:val="1B60171F"/>
    <w:rsid w:val="1C4C3A51"/>
    <w:rsid w:val="1D943902"/>
    <w:rsid w:val="1D97DEFF"/>
    <w:rsid w:val="1DE57CB9"/>
    <w:rsid w:val="1DFF72E5"/>
    <w:rsid w:val="1E3D5D47"/>
    <w:rsid w:val="1EFC6F07"/>
    <w:rsid w:val="1F0527A6"/>
    <w:rsid w:val="22AC03C2"/>
    <w:rsid w:val="283B15FE"/>
    <w:rsid w:val="290A4A78"/>
    <w:rsid w:val="2B45448D"/>
    <w:rsid w:val="2BA7634B"/>
    <w:rsid w:val="2D9E1C33"/>
    <w:rsid w:val="2FD951A4"/>
    <w:rsid w:val="2FDF85B8"/>
    <w:rsid w:val="2FFFEE04"/>
    <w:rsid w:val="31AA329C"/>
    <w:rsid w:val="31C95635"/>
    <w:rsid w:val="3361798A"/>
    <w:rsid w:val="339935C8"/>
    <w:rsid w:val="34DF85B0"/>
    <w:rsid w:val="36D6068F"/>
    <w:rsid w:val="3B8F36BC"/>
    <w:rsid w:val="3D566086"/>
    <w:rsid w:val="431467C7"/>
    <w:rsid w:val="43924DDC"/>
    <w:rsid w:val="43B63D9F"/>
    <w:rsid w:val="43EB5BA5"/>
    <w:rsid w:val="44052B72"/>
    <w:rsid w:val="445350CD"/>
    <w:rsid w:val="458A4B1F"/>
    <w:rsid w:val="47ED5839"/>
    <w:rsid w:val="491FF225"/>
    <w:rsid w:val="4EC310A1"/>
    <w:rsid w:val="4ED67027"/>
    <w:rsid w:val="4FFD214C"/>
    <w:rsid w:val="50242014"/>
    <w:rsid w:val="5352765A"/>
    <w:rsid w:val="5777D4F5"/>
    <w:rsid w:val="57EBA9D6"/>
    <w:rsid w:val="57F22B6F"/>
    <w:rsid w:val="59DD8326"/>
    <w:rsid w:val="5CE172C2"/>
    <w:rsid w:val="5DEF592A"/>
    <w:rsid w:val="5FC6BB1E"/>
    <w:rsid w:val="5FF720F1"/>
    <w:rsid w:val="61161505"/>
    <w:rsid w:val="622964C1"/>
    <w:rsid w:val="62946B85"/>
    <w:rsid w:val="66C0263F"/>
    <w:rsid w:val="67FF5C0B"/>
    <w:rsid w:val="6A8F2206"/>
    <w:rsid w:val="6BAA4A2F"/>
    <w:rsid w:val="6DDEC5C0"/>
    <w:rsid w:val="6EFC0924"/>
    <w:rsid w:val="6F9E8580"/>
    <w:rsid w:val="6FB74722"/>
    <w:rsid w:val="6FEF8B7E"/>
    <w:rsid w:val="717FE77F"/>
    <w:rsid w:val="71A6591B"/>
    <w:rsid w:val="729C3F60"/>
    <w:rsid w:val="737D59BA"/>
    <w:rsid w:val="737F32B1"/>
    <w:rsid w:val="73BD3FCA"/>
    <w:rsid w:val="74B60BDD"/>
    <w:rsid w:val="75614FED"/>
    <w:rsid w:val="776BDA01"/>
    <w:rsid w:val="77C37683"/>
    <w:rsid w:val="784A1D68"/>
    <w:rsid w:val="785030F6"/>
    <w:rsid w:val="79FF515B"/>
    <w:rsid w:val="7DFBFF20"/>
    <w:rsid w:val="7E9E1962"/>
    <w:rsid w:val="7E9F11B4"/>
    <w:rsid w:val="7F37EC1E"/>
    <w:rsid w:val="7F7C0DDA"/>
    <w:rsid w:val="7F7DCD9D"/>
    <w:rsid w:val="7F970A6F"/>
    <w:rsid w:val="7FC1FFF3"/>
    <w:rsid w:val="7FC69637"/>
    <w:rsid w:val="7FDF8620"/>
    <w:rsid w:val="7FEE70D7"/>
    <w:rsid w:val="7FFB242F"/>
    <w:rsid w:val="7FFDB408"/>
    <w:rsid w:val="7FFE4EEB"/>
    <w:rsid w:val="95FB2B98"/>
    <w:rsid w:val="9A639BC2"/>
    <w:rsid w:val="9FF7D786"/>
    <w:rsid w:val="ABBFB23D"/>
    <w:rsid w:val="B6BE5A03"/>
    <w:rsid w:val="B8C93228"/>
    <w:rsid w:val="C3B4DA5A"/>
    <w:rsid w:val="C4FF458C"/>
    <w:rsid w:val="C7BBD038"/>
    <w:rsid w:val="CBFF70E0"/>
    <w:rsid w:val="CFF50B82"/>
    <w:rsid w:val="CFFFAD89"/>
    <w:rsid w:val="DFFE359E"/>
    <w:rsid w:val="DFFE4FFD"/>
    <w:rsid w:val="DFFF5403"/>
    <w:rsid w:val="EBC3E00A"/>
    <w:rsid w:val="EDFBE100"/>
    <w:rsid w:val="EEABED75"/>
    <w:rsid w:val="EF7E8003"/>
    <w:rsid w:val="F56FDF51"/>
    <w:rsid w:val="F5F3EE78"/>
    <w:rsid w:val="F6B69F17"/>
    <w:rsid w:val="F6E5BB3A"/>
    <w:rsid w:val="F77F1D61"/>
    <w:rsid w:val="F7C36722"/>
    <w:rsid w:val="F7FED3A9"/>
    <w:rsid w:val="F8C9DB26"/>
    <w:rsid w:val="F97E8EAE"/>
    <w:rsid w:val="FB36E1A6"/>
    <w:rsid w:val="FB3BE134"/>
    <w:rsid w:val="FCFF4275"/>
    <w:rsid w:val="FD7FEEEA"/>
    <w:rsid w:val="FDFFB577"/>
    <w:rsid w:val="FEEA50FE"/>
    <w:rsid w:val="FF7D47A9"/>
    <w:rsid w:val="FFCF21CB"/>
    <w:rsid w:val="FFF94102"/>
    <w:rsid w:val="FFFF1C8B"/>
    <w:rsid w:val="FFFF743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5">
    <w:name w:val="Balloon Text"/>
    <w:basedOn w:val="1"/>
    <w:link w:val="15"/>
    <w:semiHidden/>
    <w:unhideWhenUsed/>
    <w:qFormat/>
    <w:uiPriority w:val="99"/>
    <w:rPr>
      <w:sz w:val="18"/>
      <w:szCs w:val="18"/>
    </w:rPr>
  </w:style>
  <w:style w:type="paragraph" w:styleId="6">
    <w:name w:val="footer"/>
    <w:basedOn w:val="1"/>
    <w:link w:val="12"/>
    <w:unhideWhenUsed/>
    <w:qFormat/>
    <w:uiPriority w:val="99"/>
    <w:pPr>
      <w:tabs>
        <w:tab w:val="center" w:pos="4153"/>
        <w:tab w:val="right" w:pos="8306"/>
      </w:tabs>
      <w:snapToGrid w:val="0"/>
      <w:jc w:val="left"/>
    </w:pPr>
    <w:rPr>
      <w:sz w:val="18"/>
      <w:szCs w:val="18"/>
    </w:rPr>
  </w:style>
  <w:style w:type="paragraph" w:styleId="7">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unhideWhenUsed/>
    <w:qFormat/>
    <w:uiPriority w:val="99"/>
    <w:pPr>
      <w:widowControl w:val="0"/>
      <w:spacing w:before="100" w:beforeLines="0" w:beforeAutospacing="1" w:after="100" w:afterLines="0" w:afterAutospacing="1"/>
      <w:jc w:val="left"/>
    </w:pPr>
    <w:rPr>
      <w:rFonts w:hint="eastAsia" w:ascii="宋体" w:hAnsi="宋体" w:cs="宋体" w:eastAsiaTheme="minorEastAsia"/>
      <w:kern w:val="0"/>
      <w:sz w:val="24"/>
      <w:szCs w:val="24"/>
      <w:lang w:val="en-US" w:eastAsia="zh-CN" w:bidi="ar-SA"/>
    </w:rPr>
  </w:style>
  <w:style w:type="character" w:customStyle="1" w:styleId="11">
    <w:name w:val="页眉 Char"/>
    <w:basedOn w:val="10"/>
    <w:link w:val="7"/>
    <w:qFormat/>
    <w:uiPriority w:val="99"/>
    <w:rPr>
      <w:sz w:val="18"/>
      <w:szCs w:val="18"/>
    </w:rPr>
  </w:style>
  <w:style w:type="character" w:customStyle="1" w:styleId="12">
    <w:name w:val="页脚 Char"/>
    <w:basedOn w:val="10"/>
    <w:link w:val="6"/>
    <w:qFormat/>
    <w:uiPriority w:val="99"/>
    <w:rPr>
      <w:sz w:val="18"/>
      <w:szCs w:val="18"/>
    </w:rPr>
  </w:style>
  <w:style w:type="paragraph" w:customStyle="1" w:styleId="13">
    <w:name w:val="Default"/>
    <w:qFormat/>
    <w:uiPriority w:val="0"/>
    <w:pPr>
      <w:widowControl w:val="0"/>
      <w:autoSpaceDE w:val="0"/>
      <w:autoSpaceDN w:val="0"/>
      <w:adjustRightInd w:val="0"/>
    </w:pPr>
    <w:rPr>
      <w:rFonts w:ascii="黑体" w:eastAsia="黑体" w:cs="黑体" w:hAnsiTheme="minorHAnsi"/>
      <w:color w:val="000000"/>
      <w:kern w:val="0"/>
      <w:sz w:val="24"/>
      <w:szCs w:val="24"/>
      <w:lang w:val="en-US" w:eastAsia="zh-CN" w:bidi="ar-SA"/>
    </w:rPr>
  </w:style>
  <w:style w:type="paragraph" w:styleId="14">
    <w:name w:val="List Paragraph"/>
    <w:basedOn w:val="1"/>
    <w:qFormat/>
    <w:uiPriority w:val="34"/>
    <w:pPr>
      <w:ind w:firstLine="420" w:firstLineChars="200"/>
    </w:pPr>
  </w:style>
  <w:style w:type="character" w:customStyle="1" w:styleId="15">
    <w:name w:val="批注框文本 Char"/>
    <w:basedOn w:val="10"/>
    <w:link w:val="5"/>
    <w:semiHidden/>
    <w:qFormat/>
    <w:uiPriority w:val="99"/>
    <w:rPr>
      <w:sz w:val="18"/>
      <w:szCs w:val="18"/>
    </w:rPr>
  </w:style>
  <w:style w:type="character" w:customStyle="1" w:styleId="16">
    <w:name w:val="font01"/>
    <w:basedOn w:val="10"/>
    <w:qFormat/>
    <w:uiPriority w:val="0"/>
    <w:rPr>
      <w:rFonts w:hint="eastAsia" w:ascii="宋体" w:hAnsi="宋体" w:eastAsia="宋体" w:cs="宋体"/>
      <w:color w:val="000000"/>
      <w:sz w:val="22"/>
      <w:szCs w:val="22"/>
      <w:u w:val="none"/>
    </w:rPr>
  </w:style>
  <w:style w:type="character" w:customStyle="1" w:styleId="17">
    <w:name w:val="font21"/>
    <w:basedOn w:val="10"/>
    <w:qFormat/>
    <w:uiPriority w:val="0"/>
    <w:rPr>
      <w:rFonts w:hint="eastAsia" w:ascii="宋体" w:hAnsi="宋体" w:eastAsia="宋体" w:cs="宋体"/>
      <w:color w:val="000000"/>
      <w:sz w:val="24"/>
      <w:szCs w:val="24"/>
      <w:u w:val="none"/>
    </w:rPr>
  </w:style>
  <w:style w:type="character" w:customStyle="1" w:styleId="18">
    <w:name w:val="font11"/>
    <w:basedOn w:val="10"/>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22</Pages>
  <Words>9768</Words>
  <Characters>10409</Characters>
  <Lines>63</Lines>
  <Paragraphs>18</Paragraphs>
  <TotalTime>0</TotalTime>
  <ScaleCrop>false</ScaleCrop>
  <LinksUpToDate>false</LinksUpToDate>
  <CharactersWithSpaces>10424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2020-07-11T10:32:00Z</dcterms:created>
  <dc:creator>李航 null</dc:creator>
  <cp:lastModifiedBy>吴晓娇</cp:lastModifiedBy>
  <cp:lastPrinted>2024-08-11T18:20:00Z</cp:lastPrinted>
  <dcterms:modified xsi:type="dcterms:W3CDTF">2026-09-21T03:56:01Z</dcterms:modified>
  <cp:revision>67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98623D6660B449428EB8E073C6C952EA</vt:lpwstr>
  </property>
  <property fmtid="{D5CDD505-2E9C-101B-9397-08002B2CF9AE}" pid="4" name="KSOTemplateDocerSaveRecord">
    <vt:lpwstr>eyJoZGlkIjoiMjJmMzkxZTMzNjUwNTA4ZTdmNTJlZTQwMmE4NGU2OGIiLCJ1c2VySWQiOiIxNDgxMDAxNTc4In0=</vt:lpwstr>
  </property>
</Properties>
</file>