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jc w:val="center"/>
        <w:rPr>
          <w:sz w:val="56"/>
          <w:szCs w:val="56"/>
        </w:rPr>
      </w:pPr>
    </w:p>
    <w:p>
      <w:pPr>
        <w:pStyle w:val="15"/>
        <w:jc w:val="center"/>
        <w:rPr>
          <w:sz w:val="56"/>
          <w:szCs w:val="56"/>
        </w:rPr>
      </w:pPr>
    </w:p>
    <w:p>
      <w:pPr>
        <w:pStyle w:val="15"/>
        <w:jc w:val="center"/>
        <w:rPr>
          <w:sz w:val="84"/>
          <w:szCs w:val="84"/>
        </w:rPr>
      </w:pPr>
    </w:p>
    <w:p>
      <w:pPr>
        <w:pStyle w:val="15"/>
        <w:jc w:val="center"/>
        <w:rPr>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岳阳市道路运输服务中心</w:t>
      </w: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pPr>
        <w:pStyle w:val="15"/>
        <w:jc w:val="center"/>
        <w:rPr>
          <w:sz w:val="56"/>
          <w:szCs w:val="56"/>
        </w:rPr>
      </w:pPr>
    </w:p>
    <w:p>
      <w:pPr>
        <w:pStyle w:val="15"/>
        <w:jc w:val="center"/>
        <w:rPr>
          <w:sz w:val="56"/>
          <w:szCs w:val="56"/>
        </w:rPr>
      </w:pPr>
    </w:p>
    <w:p>
      <w:pPr>
        <w:pStyle w:val="15"/>
        <w:jc w:val="center"/>
        <w:rPr>
          <w:sz w:val="56"/>
          <w:szCs w:val="56"/>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jc w:val="center"/>
        <w:rPr>
          <w:sz w:val="32"/>
          <w:szCs w:val="32"/>
        </w:rPr>
      </w:pPr>
    </w:p>
    <w:p>
      <w:pPr>
        <w:pStyle w:val="15"/>
        <w:spacing w:line="540" w:lineRule="exact"/>
        <w:jc w:val="center"/>
        <w:rPr>
          <w:sz w:val="56"/>
          <w:szCs w:val="56"/>
        </w:rPr>
      </w:pPr>
    </w:p>
    <w:p>
      <w:pPr>
        <w:pStyle w:val="15"/>
        <w:spacing w:line="500" w:lineRule="exact"/>
        <w:jc w:val="both"/>
        <w:rPr>
          <w:b/>
          <w:sz w:val="36"/>
          <w:szCs w:val="28"/>
        </w:rPr>
      </w:pPr>
    </w:p>
    <w:p>
      <w:pPr>
        <w:pStyle w:val="15"/>
        <w:spacing w:line="500" w:lineRule="exact"/>
        <w:jc w:val="center"/>
        <w:rPr>
          <w:b/>
          <w:sz w:val="36"/>
          <w:szCs w:val="28"/>
        </w:rPr>
      </w:pPr>
      <w:r>
        <w:rPr>
          <w:rFonts w:hint="eastAsia"/>
          <w:b/>
          <w:sz w:val="36"/>
          <w:szCs w:val="28"/>
        </w:rPr>
        <w:t>目录</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岳阳市道路运输服务中心</w:t>
      </w:r>
      <w:r>
        <w:rPr>
          <w:rFonts w:hint="eastAsia" w:ascii="黑体" w:hAnsi="黑体" w:eastAsia="黑体" w:cs="黑体"/>
          <w:b w:val="0"/>
          <w:bCs/>
          <w:sz w:val="28"/>
          <w:szCs w:val="28"/>
        </w:rPr>
        <w:t>概况</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5"/>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5"/>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pPr>
        <w:pStyle w:val="15"/>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pPr>
        <w:pStyle w:val="15"/>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5"/>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5"/>
        <w:jc w:val="center"/>
        <w:rPr>
          <w:rFonts w:hint="eastAsia" w:ascii="方正小标宋_GBK" w:hAnsi="方正小标宋_GBK" w:eastAsia="方正小标宋_GBK" w:cs="方正小标宋_GBK"/>
          <w:sz w:val="84"/>
          <w:szCs w:val="84"/>
        </w:rPr>
      </w:pPr>
    </w:p>
    <w:p>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单位概况</w:t>
      </w:r>
    </w:p>
    <w:p>
      <w:pPr>
        <w:pStyle w:val="10"/>
        <w:rPr>
          <w:rFonts w:hint="eastAsia" w:ascii="方正小标宋_GBK" w:hAnsi="方正小标宋_GBK" w:eastAsia="方正小标宋_GBK" w:cs="方正小标宋_GBK"/>
          <w:sz w:val="84"/>
          <w:szCs w:val="84"/>
        </w:rPr>
      </w:pPr>
    </w:p>
    <w:p>
      <w:pPr>
        <w:pStyle w:val="6"/>
        <w:rPr>
          <w:rFonts w:hint="eastAsia" w:ascii="方正小标宋_GBK" w:hAnsi="方正小标宋_GBK" w:eastAsia="方正小标宋_GBK" w:cs="方正小标宋_GBK"/>
          <w:sz w:val="84"/>
          <w:szCs w:val="84"/>
        </w:rPr>
      </w:pPr>
    </w:p>
    <w:p>
      <w:pPr>
        <w:rPr>
          <w:rFonts w:hint="eastAsia" w:ascii="方正小标宋_GBK" w:hAnsi="方正小标宋_GBK" w:eastAsia="方正小标宋_GBK" w:cs="方正小标宋_GBK"/>
          <w:sz w:val="84"/>
          <w:szCs w:val="84"/>
        </w:rPr>
      </w:pPr>
    </w:p>
    <w:p>
      <w:pPr>
        <w:pStyle w:val="10"/>
        <w:rPr>
          <w:rFonts w:hint="eastAsia" w:ascii="方正小标宋_GBK" w:hAnsi="方正小标宋_GBK" w:eastAsia="方正小标宋_GBK" w:cs="方正小标宋_GBK"/>
          <w:sz w:val="84"/>
          <w:szCs w:val="84"/>
        </w:rPr>
      </w:pPr>
    </w:p>
    <w:p>
      <w:pPr>
        <w:pStyle w:val="6"/>
        <w:rPr>
          <w:rFonts w:hint="eastAsia" w:ascii="方正小标宋_GBK" w:hAnsi="方正小标宋_GBK" w:eastAsia="方正小标宋_GBK" w:cs="方正小标宋_GBK"/>
          <w:sz w:val="84"/>
          <w:szCs w:val="84"/>
        </w:rPr>
      </w:pPr>
    </w:p>
    <w:p>
      <w:pPr>
        <w:pStyle w:val="16"/>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（一）</w:t>
      </w:r>
      <w:r>
        <w:rPr>
          <w:rFonts w:hint="eastAsia" w:ascii="仿宋_GB2312" w:hAnsi="仿宋_GB2312" w:eastAsia="仿宋_GB2312" w:cs="仿宋_GB2312"/>
          <w:sz w:val="32"/>
          <w:szCs w:val="40"/>
        </w:rPr>
        <w:t>参与拟订全市道路运输、城市公交、出租汽车、铁路 运输、交通科技信息行业地方性法规、政策以及发展规划、年度计划并实施的事务性工作；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二</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负责权限内道路运输、城市公交、出租汽车和地方铁路运输行业运行发展、管理服务的行政辅助工作；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负责权限内交通运输领域行政许可事项的行政辅助工作以及交通运输领域行政执法的事务性工作；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四</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道路客货运输市场、机动车驾驶员培训市场、机动车维修市场、城市公交、出租汽车等行业统计分析、环境保护、节能减排、行业诚信体系建设、质量信誉考核和相关政策性补助资金审核申报的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五</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负责权限内道路运输营运车辆年度审验、异动办理、技术等级评定及道路运输站（场）资质等级评定、建设管理等相关行政辅助工作；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六</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负责城市出租汽车运力投放的行政辅助工作；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七</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负责铁路沿线安全环境整治、铁路施工工程质量监管的行政辅助工作；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八</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负责交通战备、春运、重大节假日运输、重点物资运输、抢险救灾等应急运输保障事务性工作；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九</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参与制定和调整道路运输、城市公交行业的价格标准和收费标准；负责道路运输、城市公交、出租汽车行业从业人员培训、考试（考核）、认定、继续教育的行政辅助工作；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十</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负责组织交通运输系统干部职工教育培训工作；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十</w:t>
      </w:r>
      <w:r>
        <w:rPr>
          <w:rFonts w:hint="eastAsia" w:ascii="Times New Roman" w:hAnsi="Times New Roman" w:eastAsia="仿宋_GB2312" w:cs="仿宋_GB2312"/>
          <w:sz w:val="32"/>
          <w:szCs w:val="32"/>
        </w:rPr>
        <w:t>一）</w:t>
      </w:r>
      <w:r>
        <w:rPr>
          <w:rFonts w:hint="eastAsia" w:ascii="仿宋_GB2312" w:hAnsi="仿宋_GB2312" w:eastAsia="仿宋_GB2312" w:cs="仿宋_GB2312"/>
          <w:sz w:val="32"/>
          <w:szCs w:val="40"/>
        </w:rPr>
        <w:t>负责交通运输信息化建设、政务信息、网络安全等技术支撑工作；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十二</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负责交通运输系统重大项目前期有关事务性工作；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十三</w:t>
      </w:r>
      <w:r>
        <w:rPr>
          <w:rFonts w:hint="eastAsia" w:ascii="Times New Roman" w:hAnsi="Times New Roman" w:eastAsia="仿宋_GB2312" w:cs="仿宋_GB2312"/>
          <w:sz w:val="32"/>
          <w:szCs w:val="32"/>
        </w:rPr>
        <w:t>）</w:t>
      </w:r>
      <w:r>
        <w:rPr>
          <w:rFonts w:hint="eastAsia" w:ascii="仿宋_GB2312" w:hAnsi="仿宋_GB2312" w:eastAsia="仿宋_GB2312" w:cs="仿宋_GB2312"/>
          <w:sz w:val="32"/>
          <w:szCs w:val="40"/>
        </w:rPr>
        <w:t>负责权限内道路运输和铁路运输领域安全巡查、宣传教育等事务性工作。</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autoSpaceDE/>
        <w:autoSpaceDN/>
        <w:adjustRightInd/>
        <w:spacing w:line="56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w:t>
      </w:r>
      <w:r>
        <w:rPr>
          <w:rFonts w:hint="eastAsia" w:ascii="Times New Roman" w:hAnsi="Times New Roman" w:eastAsia="仿宋_GB2312" w:cs="仿宋_GB2312"/>
          <w:bCs/>
          <w:kern w:val="0"/>
          <w:sz w:val="32"/>
          <w:szCs w:val="32"/>
          <w:lang w:val="en-US" w:eastAsia="zh-CN"/>
        </w:rPr>
        <w:t>内设机构设置。</w:t>
      </w:r>
    </w:p>
    <w:p>
      <w:pPr>
        <w:autoSpaceDE/>
        <w:autoSpaceDN/>
        <w:adjustRightInd/>
        <w:spacing w:line="560" w:lineRule="exact"/>
        <w:ind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市道路运输服务中心为市交通运输局管理的公益一类事业单位，机构规格为副处级。中心下设10个内设机构：综合部、安全法务部、运输服务部、车辆技术事务部、战备应急部、项目服务部、科技信息部、驾培维修市场服务部、人事部、财务部；下设3个分支机构，分别为市营运车辆管理所、市从业人员管理所、市铁路管理所。核定全额拔款事业编制</w:t>
      </w:r>
      <w:r>
        <w:rPr>
          <w:rFonts w:hint="eastAsia" w:ascii="仿宋_GB2312" w:hAnsi="仿宋_GB2312" w:eastAsia="仿宋_GB2312" w:cs="仿宋_GB2312"/>
          <w:sz w:val="32"/>
          <w:szCs w:val="40"/>
          <w:lang w:val="en-US" w:eastAsia="zh-CN"/>
        </w:rPr>
        <w:t>81</w:t>
      </w:r>
      <w:r>
        <w:rPr>
          <w:rFonts w:hint="eastAsia" w:ascii="仿宋_GB2312" w:hAnsi="仿宋_GB2312" w:eastAsia="仿宋_GB2312" w:cs="仿宋_GB2312"/>
          <w:sz w:val="32"/>
          <w:szCs w:val="40"/>
        </w:rPr>
        <w:t>名。单位现实有在编人员</w:t>
      </w:r>
      <w:r>
        <w:rPr>
          <w:rFonts w:hint="eastAsia" w:ascii="仿宋_GB2312" w:hAnsi="仿宋_GB2312" w:eastAsia="仿宋_GB2312" w:cs="仿宋_GB2312"/>
          <w:sz w:val="32"/>
          <w:szCs w:val="40"/>
          <w:lang w:val="en-US" w:eastAsia="zh-CN"/>
        </w:rPr>
        <w:t>75</w:t>
      </w:r>
      <w:r>
        <w:rPr>
          <w:rFonts w:hint="eastAsia" w:ascii="仿宋_GB2312" w:hAnsi="仿宋_GB2312" w:eastAsia="仿宋_GB2312" w:cs="仿宋_GB2312"/>
          <w:sz w:val="32"/>
          <w:szCs w:val="40"/>
        </w:rPr>
        <w:t>名。核定领导职数</w:t>
      </w:r>
      <w:r>
        <w:rPr>
          <w:rFonts w:hint="eastAsia" w:ascii="仿宋_GB2312" w:hAnsi="仿宋_GB2312" w:eastAsia="仿宋_GB2312" w:cs="仿宋_GB2312"/>
          <w:sz w:val="32"/>
          <w:szCs w:val="40"/>
          <w:lang w:val="en-US" w:eastAsia="zh-CN"/>
        </w:rPr>
        <w:t>7</w:t>
      </w:r>
      <w:r>
        <w:rPr>
          <w:rFonts w:hint="eastAsia" w:ascii="仿宋_GB2312" w:hAnsi="仿宋_GB2312" w:eastAsia="仿宋_GB2312" w:cs="仿宋_GB2312"/>
          <w:sz w:val="32"/>
          <w:szCs w:val="40"/>
        </w:rPr>
        <w:t>名，设主任（副处级）1名，党委副职（正科级）</w:t>
      </w:r>
      <w:r>
        <w:rPr>
          <w:rFonts w:hint="eastAsia" w:ascii="仿宋_GB2312" w:hAnsi="仿宋_GB2312" w:eastAsia="仿宋_GB2312" w:cs="仿宋_GB2312"/>
          <w:sz w:val="32"/>
          <w:szCs w:val="40"/>
          <w:lang w:val="en-US" w:eastAsia="zh-CN"/>
        </w:rPr>
        <w:t>6</w:t>
      </w:r>
      <w:r>
        <w:rPr>
          <w:rFonts w:hint="eastAsia" w:ascii="仿宋_GB2312" w:hAnsi="仿宋_GB2312" w:eastAsia="仿宋_GB2312" w:cs="仿宋_GB2312"/>
          <w:sz w:val="32"/>
          <w:szCs w:val="40"/>
        </w:rPr>
        <w:t>名（其中党委专职副书记1名）；内设机构副科级领导职数1</w:t>
      </w:r>
      <w:r>
        <w:rPr>
          <w:rFonts w:hint="eastAsia" w:ascii="仿宋_GB2312" w:hAnsi="仿宋_GB2312" w:eastAsia="仿宋_GB2312" w:cs="仿宋_GB2312"/>
          <w:sz w:val="32"/>
          <w:szCs w:val="40"/>
          <w:lang w:val="en-US" w:eastAsia="zh-CN"/>
        </w:rPr>
        <w:t>0</w:t>
      </w:r>
      <w:r>
        <w:rPr>
          <w:rFonts w:hint="eastAsia" w:ascii="仿宋_GB2312" w:hAnsi="仿宋_GB2312" w:eastAsia="仿宋_GB2312" w:cs="仿宋_GB2312"/>
          <w:sz w:val="32"/>
          <w:szCs w:val="40"/>
        </w:rPr>
        <w:t>名（含党委办主任1名）；分支机构正科级领导职数3名、副科级领导职数6名。</w:t>
      </w:r>
    </w:p>
    <w:p>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p>
    <w:p>
      <w:pPr>
        <w:ind w:firstLine="640" w:firstLineChars="200"/>
        <w:jc w:val="left"/>
      </w:pPr>
      <w:r>
        <w:rPr>
          <w:rFonts w:hint="eastAsia" w:ascii="Times New Roman" w:hAnsi="Times New Roman" w:eastAsia="仿宋_GB2312" w:cs="仿宋_GB2312"/>
          <w:bCs/>
          <w:kern w:val="0"/>
          <w:sz w:val="32"/>
          <w:szCs w:val="32"/>
          <w:lang w:eastAsia="zh-CN"/>
        </w:rPr>
        <w:t>岳阳市道路运输服务中心</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本单位无独立核算的下属单位，</w:t>
      </w:r>
      <w:r>
        <w:rPr>
          <w:rFonts w:hint="eastAsia" w:ascii="Times New Roman" w:hAnsi="Times New Roman" w:eastAsia="仿宋_GB2312" w:cs="仿宋_GB2312"/>
          <w:bCs/>
          <w:kern w:val="0"/>
          <w:sz w:val="32"/>
          <w:szCs w:val="32"/>
          <w:lang w:val="en-US" w:eastAsia="zh-CN"/>
        </w:rPr>
        <w:t>2025年度部门决算汇总公开单位仅包括岳阳市道路运输服务中心本级</w:t>
      </w:r>
      <w:r>
        <w:rPr>
          <w:rFonts w:hint="eastAsia" w:ascii="Times New Roman" w:hAnsi="Times New Roman" w:eastAsia="仿宋_GB2312" w:cs="仿宋_GB2312"/>
          <w:bCs/>
          <w:kern w:val="0"/>
          <w:sz w:val="32"/>
          <w:szCs w:val="32"/>
        </w:rPr>
        <w:t>。</w:t>
      </w:r>
    </w:p>
    <w:p>
      <w:pPr>
        <w:pStyle w:val="10"/>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5"/>
        <w:jc w:val="center"/>
        <w:rPr>
          <w:rFonts w:hint="eastAsia" w:ascii="方正小标宋_GBK" w:hAnsi="方正小标宋_GBK" w:eastAsia="方正小标宋_GBK" w:cs="方正小标宋_GBK"/>
          <w:sz w:val="84"/>
          <w:szCs w:val="84"/>
        </w:rPr>
      </w:pPr>
    </w:p>
    <w:p>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pStyle w:val="15"/>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仿宋_GB2312" w:hAnsi="仿宋_GB2312" w:eastAsia="仿宋_GB2312" w:cs="仿宋_GB2312"/>
          <w:b w:val="0"/>
          <w:bCs w:val="0"/>
          <w:sz w:val="72"/>
          <w:szCs w:val="72"/>
          <w:lang w:eastAsia="zh-CN"/>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p>
    <w:p>
      <w:pPr>
        <w:pStyle w:val="15"/>
        <w:jc w:val="center"/>
        <w:rPr>
          <w:rFonts w:hint="eastAsia" w:ascii="方正小标宋_GBK" w:hAnsi="方正小标宋_GBK" w:eastAsia="方正小标宋_GBK" w:cs="方正小标宋_GBK"/>
          <w:sz w:val="70"/>
          <w:szCs w:val="70"/>
        </w:rPr>
      </w:pP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1906.03</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180.57</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10.4</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单位整体搬迁，费用增加。</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1857.81</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1699.92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91.5</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157.88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w:t>
      </w:r>
      <w:r>
        <w:rPr>
          <w:rFonts w:hint="eastAsia" w:ascii="仿宋_GB2312" w:hAnsi="仿宋_GB2312" w:eastAsia="仿宋_GB2312" w:cs="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1906.03</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1906.03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5"/>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1699.92</w:t>
      </w:r>
      <w:r>
        <w:rPr>
          <w:rFonts w:hint="eastAsia" w:ascii="仿宋_GB2312" w:hAnsi="仿宋_GB2312" w:eastAsia="仿宋_GB2312" w:cs="仿宋_GB2312"/>
          <w:sz w:val="32"/>
          <w:szCs w:val="32"/>
        </w:rPr>
        <w:t>万元，与上年相比，减少</w:t>
      </w:r>
      <w:r>
        <w:rPr>
          <w:rFonts w:hint="eastAsia" w:ascii="仿宋_GB2312" w:hAnsi="仿宋_GB2312" w:eastAsia="仿宋_GB2312" w:cs="仿宋_GB2312"/>
          <w:sz w:val="32"/>
          <w:szCs w:val="32"/>
          <w:lang w:val="en-US" w:eastAsia="zh-CN"/>
        </w:rPr>
        <w:t>25.54</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1.48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在职人员减少。</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1699.92</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91.5</w:t>
      </w:r>
      <w:r>
        <w:rPr>
          <w:rFonts w:hint="eastAsia" w:ascii="仿宋_GB2312" w:hAnsi="仿宋_GB2312" w:eastAsia="仿宋_GB2312" w:cs="仿宋_GB2312"/>
          <w:sz w:val="32"/>
          <w:szCs w:val="32"/>
        </w:rPr>
        <w:t>%，与上年相比，财政拨款支出减少</w:t>
      </w:r>
      <w:r>
        <w:rPr>
          <w:rFonts w:hint="eastAsia" w:ascii="仿宋_GB2312" w:hAnsi="仿宋_GB2312" w:eastAsia="仿宋_GB2312" w:cs="仿宋_GB2312"/>
          <w:sz w:val="32"/>
          <w:szCs w:val="32"/>
          <w:lang w:val="en-US" w:eastAsia="zh-CN"/>
        </w:rPr>
        <w:t>25.54</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lang w:val="en-US" w:eastAsia="zh-CN"/>
        </w:rPr>
        <w:t>1.48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在职人员减少。</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1699.92</w:t>
      </w:r>
      <w:r>
        <w:rPr>
          <w:rFonts w:hint="eastAsia" w:ascii="仿宋_GB2312" w:hAnsi="仿宋_GB2312" w:eastAsia="仿宋_GB2312" w:cs="仿宋_GB2312"/>
          <w:sz w:val="32"/>
          <w:szCs w:val="32"/>
        </w:rPr>
        <w:t>万元，主要用于以下方面：</w:t>
      </w:r>
      <w:r>
        <w:rPr>
          <w:rFonts w:hint="eastAsia" w:ascii="Times New Roman" w:hAnsi="Times New Roman" w:eastAsia="仿宋_GB2312"/>
          <w:sz w:val="32"/>
          <w:szCs w:val="32"/>
        </w:rPr>
        <w:t>社会保障和就业（类）</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149.40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8.79</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Times New Roman" w:hAnsi="Times New Roman" w:eastAsia="仿宋_GB2312"/>
          <w:sz w:val="32"/>
          <w:szCs w:val="32"/>
        </w:rPr>
        <w:t>交通运输</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支出</w:t>
      </w:r>
      <w:r>
        <w:rPr>
          <w:rFonts w:hint="eastAsia" w:ascii="仿宋_GB2312" w:hAnsi="仿宋_GB2312" w:eastAsia="仿宋_GB2312" w:cs="仿宋_GB2312"/>
          <w:sz w:val="32"/>
          <w:szCs w:val="32"/>
          <w:lang w:val="en-US" w:eastAsia="zh-CN"/>
        </w:rPr>
        <w:t>1468.56万元，占86.39%；</w:t>
      </w:r>
      <w:r>
        <w:rPr>
          <w:rFonts w:hint="eastAsia" w:ascii="Times New Roman" w:hAnsi="Times New Roman" w:eastAsia="仿宋_GB2312"/>
          <w:sz w:val="32"/>
          <w:szCs w:val="32"/>
          <w:lang w:val="en-US" w:eastAsia="zh-CN"/>
        </w:rPr>
        <w:t>住房保障（类）支出</w:t>
      </w:r>
      <w:r>
        <w:rPr>
          <w:rFonts w:hint="eastAsia" w:ascii="仿宋_GB2312" w:hAnsi="仿宋_GB2312" w:eastAsia="仿宋_GB2312" w:cs="仿宋_GB2312"/>
          <w:sz w:val="32"/>
          <w:szCs w:val="32"/>
          <w:lang w:val="en-US" w:eastAsia="zh-CN"/>
        </w:rPr>
        <w:t>81.97万元，占4.82%。</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1473.4</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1473.4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1、交通运输支出（类）公路水路运输（款）行政运行（项）。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1228.6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1228.6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本单位按预算执行决算。</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2、社会保障和就业支出（类）行政事业单位养老支出（款）机关事业单位基本养老保险缴费支出（项）。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134.66</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134.66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本单位按预算执行决算。</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w:t>
      </w:r>
      <w:r>
        <w:rPr>
          <w:rFonts w:hint="eastAsia" w:ascii="仿宋_GB2312" w:hAnsi="仿宋_GB2312" w:eastAsia="仿宋_GB2312" w:cs="仿宋_GB2312"/>
          <w:sz w:val="32"/>
          <w:szCs w:val="32"/>
          <w:lang w:eastAsia="zh-CN"/>
        </w:rPr>
        <w:t>残疾人事业</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其他残疾人事业支出</w:t>
      </w:r>
      <w:r>
        <w:rPr>
          <w:rFonts w:hint="eastAsia" w:ascii="仿宋_GB2312" w:hAnsi="仿宋_GB2312" w:eastAsia="仿宋_GB2312" w:cs="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10.70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10.70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本单位按预算执行决算。</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、社会保障和就业支出（类）其他社会保障和就业支出（款）其他社会保障和就业支出（项）。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本单位按预算执行决算。</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住房保障支出（类）住房改革支出（款）</w:t>
      </w:r>
      <w:r>
        <w:rPr>
          <w:rFonts w:hint="eastAsia" w:ascii="仿宋_GB2312" w:hAnsi="仿宋_GB2312" w:eastAsia="仿宋_GB2312" w:cs="仿宋_GB2312"/>
          <w:sz w:val="32"/>
          <w:szCs w:val="32"/>
          <w:lang w:eastAsia="zh-CN"/>
        </w:rPr>
        <w:t>住房公积金</w:t>
      </w:r>
      <w:r>
        <w:rPr>
          <w:rFonts w:hint="eastAsia" w:ascii="仿宋_GB2312" w:hAnsi="仿宋_GB2312" w:eastAsia="仿宋_GB2312" w:cs="仿宋_GB2312"/>
          <w:sz w:val="32"/>
          <w:szCs w:val="32"/>
        </w:rPr>
        <w:t>（项）。</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97.04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97.04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本单位按预算执行决算。</w:t>
      </w:r>
    </w:p>
    <w:p>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1699.92</w:t>
      </w:r>
      <w:r>
        <w:rPr>
          <w:rFonts w:hint="eastAsia" w:ascii="仿宋_GB2312" w:hAnsi="仿宋_GB2312" w:eastAsia="仿宋_GB2312" w:cs="仿宋_GB2312"/>
          <w:sz w:val="32"/>
          <w:szCs w:val="32"/>
        </w:rPr>
        <w:t>万元，其中：</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1560.65</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91.8</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、机关事业单位基本养老保险缴费、职业年金缴费、职工基本医疗保险缴费、其他社会保障缴费、住房公积金、退休费、抚恤金、其他对个人和家庭的补助。</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139.27</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8.2</w:t>
      </w:r>
      <w:r>
        <w:rPr>
          <w:rFonts w:hint="eastAsia" w:ascii="仿宋_GB2312" w:hAnsi="仿宋_GB2312" w:eastAsia="仿宋_GB2312" w:cs="仿宋_GB2312"/>
          <w:sz w:val="32"/>
          <w:szCs w:val="32"/>
        </w:rPr>
        <w:t>%，主要包括办公费、印刷费、</w:t>
      </w:r>
      <w:r>
        <w:rPr>
          <w:rFonts w:hint="eastAsia" w:ascii="仿宋_GB2312" w:hAnsi="仿宋_GB2312" w:eastAsia="仿宋_GB2312" w:cs="仿宋_GB2312"/>
          <w:sz w:val="32"/>
          <w:szCs w:val="32"/>
          <w:lang w:eastAsia="zh-CN"/>
        </w:rPr>
        <w:t>水费、电费、邮电费、差旅费、维修（护）费、</w:t>
      </w:r>
      <w:r>
        <w:rPr>
          <w:rFonts w:hint="eastAsia" w:ascii="Times New Roman" w:hAnsi="Times New Roman" w:eastAsia="仿宋_GB2312"/>
          <w:sz w:val="32"/>
          <w:szCs w:val="32"/>
        </w:rPr>
        <w:t>劳务费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工会经费、</w:t>
      </w:r>
      <w:r>
        <w:rPr>
          <w:rFonts w:hint="eastAsia" w:ascii="Times New Roman" w:hAnsi="Times New Roman" w:eastAsia="仿宋_GB2312"/>
          <w:sz w:val="32"/>
          <w:szCs w:val="32"/>
          <w:lang w:eastAsia="zh-CN"/>
        </w:rPr>
        <w:t>其他交通费用、</w:t>
      </w:r>
      <w:r>
        <w:rPr>
          <w:rFonts w:hint="eastAsia" w:ascii="Times New Roman" w:hAnsi="Times New Roman" w:eastAsia="仿宋_GB2312"/>
          <w:sz w:val="32"/>
          <w:szCs w:val="32"/>
        </w:rPr>
        <w:t>其他商品和服务支出</w:t>
      </w:r>
      <w:r>
        <w:rPr>
          <w:rFonts w:hint="eastAsia" w:ascii="仿宋_GB2312" w:hAnsi="仿宋_GB2312" w:eastAsia="仿宋_GB2312" w:cs="仿宋_GB2312"/>
          <w:sz w:val="32"/>
          <w:szCs w:val="32"/>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highlight w:val="none"/>
        </w:rPr>
        <w:t xml:space="preserve"> </w:t>
      </w:r>
      <w:r>
        <w:rPr>
          <w:rFonts w:hint="eastAsia" w:ascii="仿宋_GB2312" w:hAnsi="仿宋_GB2312" w:eastAsia="仿宋_GB2312" w:cs="仿宋_GB2312"/>
          <w:b w:val="0"/>
          <w:bCs w:val="0"/>
          <w:i w:val="0"/>
          <w:iCs/>
          <w:color w:val="auto"/>
          <w:kern w:val="0"/>
          <w:sz w:val="32"/>
          <w:szCs w:val="32"/>
          <w:highlight w:val="none"/>
          <w:lang w:val="en-US" w:eastAsia="zh-CN" w:bidi="ar-SA"/>
        </w:rPr>
        <w:t>2025年度政府性基金预算财政拨款收入0万元；年初结转和结余0万元；支出0万元，其中基本支出0万元，项目支出0万元；年末结转和结余0万元。</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i w:val="0"/>
          <w:iCs/>
          <w:color w:val="auto"/>
          <w:kern w:val="0"/>
          <w:sz w:val="32"/>
          <w:szCs w:val="32"/>
          <w:lang w:val="en-US" w:eastAsia="zh-CN" w:bidi="ar-SA"/>
        </w:rPr>
        <w:t>2025年度国有资本经营预算财政拨款收入0万元；年初结转和结余0万；支出0万元，其中：基本支出0万元，项目支出0万元；年末结转和结余0万元。</w:t>
      </w: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pPr>
        <w:pStyle w:val="15"/>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w:t>
      </w:r>
      <w:r>
        <w:rPr>
          <w:rFonts w:hint="eastAsia" w:ascii="Times New Roman" w:hAnsi="Times New Roman" w:eastAsia="楷体_GB2312" w:cs="Times New Roman"/>
          <w:b/>
          <w:color w:val="auto"/>
          <w:sz w:val="32"/>
          <w:szCs w:val="32"/>
          <w:lang w:eastAsia="zh-CN"/>
        </w:rPr>
        <w:t>“三公”</w:t>
      </w:r>
      <w:r>
        <w:rPr>
          <w:rFonts w:ascii="Times New Roman" w:hAnsi="Times New Roman" w:eastAsia="楷体_GB2312" w:cs="Times New Roman"/>
          <w:b/>
          <w:color w:val="auto"/>
          <w:sz w:val="32"/>
          <w:szCs w:val="32"/>
        </w:rPr>
        <w:t>经费财政拨款支出决算总体情况说明</w:t>
      </w:r>
    </w:p>
    <w:p>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度“三公”经费财政拨款支出预算为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0.06</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w:t>
      </w:r>
      <w:r>
        <w:rPr>
          <w:rFonts w:hint="eastAsia" w:ascii="Times New Roman" w:hAnsi="Times New Roman" w:eastAsia="仿宋_GB2312" w:cs="Times New Roman"/>
          <w:color w:val="auto"/>
          <w:sz w:val="32"/>
          <w:szCs w:val="32"/>
          <w:lang w:val="en-US" w:eastAsia="zh-CN"/>
        </w:rPr>
        <w:t>小于</w:t>
      </w:r>
      <w:r>
        <w:rPr>
          <w:rFonts w:hint="eastAsia" w:ascii="Times New Roman" w:hAnsi="Times New Roman" w:eastAsia="仿宋_GB2312" w:cs="Times New Roman"/>
          <w:color w:val="auto"/>
          <w:sz w:val="32"/>
          <w:szCs w:val="32"/>
          <w:lang w:eastAsia="zh-CN"/>
        </w:rPr>
        <w:t>预算数</w:t>
      </w:r>
      <w:r>
        <w:rPr>
          <w:rFonts w:hint="eastAsia" w:ascii="Times New Roman" w:hAnsi="Times New Roman" w:eastAsia="仿宋_GB2312" w:cs="Times New Roman"/>
          <w:color w:val="auto"/>
          <w:sz w:val="32"/>
          <w:szCs w:val="32"/>
          <w:lang w:val="en-US" w:eastAsia="zh-CN"/>
        </w:rPr>
        <w:t>，主要原因是按有关政策厉行节约，严控“三公经费”支出。</w:t>
      </w:r>
    </w:p>
    <w:p>
      <w:pPr>
        <w:pStyle w:val="15"/>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w:t>
      </w:r>
      <w:r>
        <w:rPr>
          <w:rFonts w:hint="eastAsia" w:ascii="Times New Roman" w:hAnsi="Times New Roman" w:eastAsia="楷体_GB2312" w:cs="Times New Roman"/>
          <w:b/>
          <w:color w:val="auto"/>
          <w:sz w:val="32"/>
          <w:szCs w:val="32"/>
          <w:lang w:eastAsia="zh-CN"/>
        </w:rPr>
        <w:t>“三公”</w:t>
      </w:r>
      <w:r>
        <w:rPr>
          <w:rFonts w:ascii="Times New Roman" w:hAnsi="Times New Roman" w:eastAsia="楷体_GB2312" w:cs="Times New Roman"/>
          <w:b/>
          <w:color w:val="auto"/>
          <w:sz w:val="32"/>
          <w:szCs w:val="32"/>
        </w:rPr>
        <w:t>经费财政拨款支出决算具体情况说明</w:t>
      </w:r>
    </w:p>
    <w:p>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决算数等于预算数</w:t>
      </w:r>
      <w:r>
        <w:rPr>
          <w:rFonts w:hint="eastAsia" w:ascii="Times New Roman" w:hAnsi="Times New Roman" w:eastAsia="仿宋_GB2312" w:cs="Times New Roman"/>
          <w:color w:val="auto"/>
          <w:sz w:val="32"/>
          <w:szCs w:val="32"/>
          <w:lang w:val="en-US" w:eastAsia="zh-CN"/>
        </w:rPr>
        <w:t>，主要原因是我单位严格按预算执行决算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与上年一致，无增减变动，主要原因是未安排因公出国（境）活动。</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度安排因公出国（境）团组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pPr>
        <w:pStyle w:val="15"/>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eastAsia="zh-CN"/>
        </w:rPr>
        <w:t>决算数等于预算数</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w:t>
      </w:r>
      <w:r>
        <w:rPr>
          <w:rFonts w:ascii="Times New Roman" w:hAnsi="Times New Roman" w:eastAsia="仿宋_GB2312" w:cs="Times New Roman"/>
          <w:color w:val="auto"/>
          <w:sz w:val="32"/>
          <w:szCs w:val="32"/>
        </w:rPr>
        <w:t>。其中：</w:t>
      </w:r>
    </w:p>
    <w:p>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决算数等于预算数，主要原因是我单位严格按预算执行决算</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与上年一致，无增减变动，主要原因是两年均未购置公务用车。本单位</w:t>
      </w:r>
      <w:r>
        <w:rPr>
          <w:rFonts w:ascii="Times New Roman" w:hAnsi="Times New Roman" w:eastAsia="仿宋_GB2312" w:cs="Times New Roman"/>
          <w:color w:val="auto"/>
          <w:sz w:val="32"/>
          <w:szCs w:val="32"/>
        </w:rPr>
        <w:t>更新公务用车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w:t>
      </w:r>
    </w:p>
    <w:p>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公</w:t>
      </w:r>
      <w:r>
        <w:rPr>
          <w:rFonts w:ascii="Times New Roman" w:hAnsi="Times New Roman" w:eastAsia="仿宋_GB2312" w:cs="Times New Roman"/>
          <w:color w:val="auto"/>
          <w:sz w:val="32"/>
          <w:szCs w:val="32"/>
        </w:rPr>
        <w:t>务用车运行维护费支出预算为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 xml:space="preserve">决算数等于预算数，主要原因是我单位严格按预算执行决算；与上年一致，无增减变动，主要原因是两年均无公务用车需要运行维护。 </w:t>
      </w:r>
      <w:r>
        <w:rPr>
          <w:rFonts w:ascii="Times New Roman" w:hAnsi="Times New Roman" w:eastAsia="仿宋_GB2312" w:cs="Times New Roman"/>
          <w:color w:val="auto"/>
          <w:sz w:val="32"/>
          <w:szCs w:val="32"/>
        </w:rPr>
        <w:t>截止</w:t>
      </w:r>
      <w:r>
        <w:rPr>
          <w:rFonts w:hint="eastAsia" w:ascii="Times New Roman" w:hAnsi="Times New Roman" w:eastAsia="仿宋_GB2312" w:cs="Times New Roman"/>
          <w:color w:val="auto"/>
          <w:sz w:val="32"/>
          <w:szCs w:val="32"/>
          <w:lang w:eastAsia="zh-CN"/>
        </w:rPr>
        <w:t>到2025年</w:t>
      </w:r>
      <w:r>
        <w:rPr>
          <w:rFonts w:ascii="Times New Roman" w:hAnsi="Times New Roman" w:eastAsia="仿宋_GB2312" w:cs="Times New Roman"/>
          <w:color w:val="auto"/>
          <w:sz w:val="32"/>
          <w:szCs w:val="32"/>
        </w:rPr>
        <w:t>12月31日，我单位开支财政拨款的公务用车保有量为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w:t>
      </w:r>
    </w:p>
    <w:p>
      <w:pPr>
        <w:pStyle w:val="15"/>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公务接待费支出预算为</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0.06</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lang w:val="en-US" w:eastAsia="zh-CN"/>
        </w:rPr>
        <w:t>决算数小于预算数，主要原因是严格执行中央八项规定；按有关政策厉行节约，严控公务接待支出。</w:t>
      </w:r>
      <w:r>
        <w:rPr>
          <w:rFonts w:hint="eastAsia" w:ascii="Times New Roman" w:hAnsi="Times New Roman" w:eastAsia="仿宋_GB2312" w:cs="Times New Roman"/>
          <w:color w:val="auto"/>
          <w:sz w:val="32"/>
          <w:szCs w:val="32"/>
          <w:lang w:eastAsia="zh-CN"/>
        </w:rPr>
        <w:t>2025年</w:t>
      </w:r>
      <w:r>
        <w:rPr>
          <w:rFonts w:ascii="Times New Roman" w:hAnsi="Times New Roman" w:eastAsia="仿宋_GB2312" w:cs="Times New Roman"/>
          <w:color w:val="auto"/>
          <w:sz w:val="32"/>
          <w:szCs w:val="32"/>
        </w:rPr>
        <w:t>度共接待来访团组</w:t>
      </w:r>
      <w:r>
        <w:rPr>
          <w:rFonts w:hint="eastAsia" w:ascii="Times New Roman" w:hAnsi="Times New Roman" w:eastAsia="仿宋_GB2312" w:cs="Times New Roman"/>
          <w:color w:val="auto"/>
          <w:sz w:val="32"/>
          <w:szCs w:val="32"/>
          <w:lang w:val="en-US" w:eastAsia="zh-CN"/>
        </w:rPr>
        <w:t>4</w:t>
      </w:r>
      <w:r>
        <w:rPr>
          <w:rFonts w:ascii="Times New Roman" w:hAnsi="Times New Roman" w:eastAsia="仿宋_GB2312" w:cs="Times New Roman"/>
          <w:color w:val="auto"/>
          <w:sz w:val="32"/>
          <w:szCs w:val="32"/>
        </w:rPr>
        <w:t>个、来宾</w:t>
      </w:r>
      <w:r>
        <w:rPr>
          <w:rFonts w:hint="eastAsia" w:ascii="Times New Roman" w:hAnsi="Times New Roman" w:eastAsia="仿宋_GB2312" w:cs="Times New Roman"/>
          <w:color w:val="auto"/>
          <w:sz w:val="32"/>
          <w:szCs w:val="32"/>
          <w:lang w:val="en-US" w:eastAsia="zh-CN"/>
        </w:rPr>
        <w:t>15</w:t>
      </w:r>
      <w:r>
        <w:rPr>
          <w:rFonts w:ascii="Times New Roman" w:hAnsi="Times New Roman" w:eastAsia="仿宋_GB2312" w:cs="Times New Roman"/>
          <w:color w:val="auto"/>
          <w:sz w:val="32"/>
          <w:szCs w:val="32"/>
        </w:rPr>
        <w:t>人次</w:t>
      </w:r>
      <w:r>
        <w:rPr>
          <w:rFonts w:hint="eastAsia" w:ascii="Times New Roman" w:hAnsi="Times New Roman" w:eastAsia="仿宋_GB2312" w:cs="Times New Roman"/>
          <w:color w:val="auto"/>
          <w:sz w:val="32"/>
          <w:szCs w:val="32"/>
          <w:lang w:eastAsia="zh-CN"/>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color w:val="auto"/>
          <w:sz w:val="32"/>
          <w:szCs w:val="32"/>
          <w:lang w:eastAsia="zh-CN"/>
        </w:rPr>
      </w:pP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黑体" w:hAnsi="黑体" w:eastAsia="黑体" w:cs="黑体"/>
          <w:b w:val="0"/>
          <w:bCs/>
          <w:color w:val="auto"/>
          <w:sz w:val="32"/>
          <w:szCs w:val="32"/>
          <w:lang w:eastAsia="zh-CN"/>
        </w:rPr>
        <w:t>十</w:t>
      </w:r>
      <w:r>
        <w:rPr>
          <w:rFonts w:hint="eastAsia" w:ascii="黑体" w:hAnsi="黑体" w:eastAsia="黑体" w:cs="黑体"/>
          <w:b w:val="0"/>
          <w:bCs/>
          <w:color w:val="auto"/>
          <w:sz w:val="32"/>
          <w:szCs w:val="32"/>
        </w:rPr>
        <w:t>、关于机关运行经费支出说明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本级和所属单位均为事业单位，按照机关运行经费的口径，本年度机关运行经费为0。</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pPr>
        <w:pStyle w:val="15"/>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年度，会议费年初预算0万元，支出决算为0万元，完成年初预算的100%。</w:t>
      </w:r>
    </w:p>
    <w:p>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培训费年初预算2.95万元，支出决算为2.95万元，完成年初预算的100%。用于开展1次培训，人数82人，内容为24、25年全省事业单位工作人员培训。</w:t>
      </w:r>
    </w:p>
    <w:p>
      <w:pPr>
        <w:widowControl w:val="0"/>
        <w:autoSpaceDE w:val="0"/>
        <w:autoSpaceDN w:val="0"/>
        <w:adjustRightInd w:val="0"/>
        <w:ind w:firstLine="640" w:firstLineChars="200"/>
        <w:rPr>
          <w:rFonts w:hint="eastAsia" w:ascii="仿宋" w:hAnsi="仿宋" w:eastAsia="仿宋" w:cs="仿宋"/>
          <w:b/>
          <w:bCs/>
          <w:i/>
          <w:color w:val="auto"/>
          <w:kern w:val="0"/>
          <w:sz w:val="32"/>
          <w:szCs w:val="32"/>
          <w:highlight w:val="yellow"/>
          <w:lang w:val="en-US" w:eastAsia="zh-CN" w:bidi="ar-SA"/>
        </w:rPr>
      </w:pPr>
      <w:r>
        <w:rPr>
          <w:rFonts w:hint="eastAsia" w:ascii="仿宋" w:hAnsi="仿宋" w:eastAsia="仿宋" w:cs="仿宋"/>
          <w:b w:val="0"/>
          <w:bCs w:val="0"/>
          <w:i w:val="0"/>
          <w:iCs w:val="0"/>
          <w:color w:val="auto"/>
          <w:kern w:val="0"/>
          <w:sz w:val="32"/>
          <w:szCs w:val="32"/>
          <w:lang w:val="en-US" w:eastAsia="zh-CN" w:bidi="ar-SA"/>
        </w:rPr>
        <w:t>本单位无举办节庆、晚会、论坛、赛事等活动的预算和支出决算数</w:t>
      </w:r>
      <w:r>
        <w:rPr>
          <w:rFonts w:hint="eastAsia" w:ascii="仿宋" w:hAnsi="仿宋" w:eastAsia="仿宋" w:cs="仿宋"/>
          <w:color w:val="auto"/>
          <w:kern w:val="0"/>
          <w:sz w:val="32"/>
          <w:szCs w:val="32"/>
          <w:lang w:val="en-US" w:eastAsia="zh-CN" w:bidi="ar-SA"/>
        </w:rPr>
        <w:t>。</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Times New Roman" w:hAnsi="Times New Roman" w:eastAsia="仿宋_GB2312"/>
          <w:color w:val="auto"/>
          <w:sz w:val="32"/>
          <w:szCs w:val="32"/>
        </w:rPr>
        <w:t>本部门</w:t>
      </w:r>
      <w:r>
        <w:rPr>
          <w:rFonts w:hint="eastAsia" w:ascii="Times New Roman" w:hAnsi="Times New Roman" w:eastAsia="仿宋_GB2312"/>
          <w:color w:val="auto"/>
          <w:sz w:val="32"/>
          <w:szCs w:val="32"/>
          <w:lang w:eastAsia="zh-CN"/>
        </w:rPr>
        <w:t>2025年</w:t>
      </w:r>
      <w:r>
        <w:rPr>
          <w:rFonts w:hint="eastAsia" w:ascii="Times New Roman" w:hAnsi="Times New Roman" w:eastAsia="仿宋_GB2312"/>
          <w:color w:val="auto"/>
          <w:sz w:val="32"/>
          <w:szCs w:val="32"/>
        </w:rPr>
        <w:t>度政府采购支出总额</w:t>
      </w:r>
      <w:r>
        <w:rPr>
          <w:rFonts w:hint="eastAsia" w:ascii="Times New Roman" w:hAnsi="Times New Roman" w:eastAsia="仿宋_GB2312"/>
          <w:color w:val="auto"/>
          <w:sz w:val="32"/>
          <w:szCs w:val="32"/>
          <w:lang w:val="en-US" w:eastAsia="zh-CN"/>
        </w:rPr>
        <w:t>73</w:t>
      </w:r>
      <w:r>
        <w:rPr>
          <w:rFonts w:hint="eastAsia" w:ascii="Times New Roman" w:hAnsi="Times New Roman" w:eastAsia="仿宋_GB2312"/>
          <w:color w:val="auto"/>
          <w:sz w:val="32"/>
          <w:szCs w:val="32"/>
        </w:rPr>
        <w:t>万元，其中：政府采购货物支出</w:t>
      </w:r>
      <w:r>
        <w:rPr>
          <w:rFonts w:hint="eastAsia" w:ascii="Times New Roman" w:hAnsi="Times New Roman" w:eastAsia="仿宋_GB2312"/>
          <w:color w:val="auto"/>
          <w:sz w:val="32"/>
          <w:szCs w:val="32"/>
          <w:lang w:val="en-US" w:eastAsia="zh-CN"/>
        </w:rPr>
        <w:t>65</w:t>
      </w:r>
      <w:r>
        <w:rPr>
          <w:rFonts w:hint="eastAsia" w:ascii="Times New Roman" w:hAnsi="Times New Roman" w:eastAsia="仿宋_GB2312"/>
          <w:color w:val="auto"/>
          <w:sz w:val="32"/>
          <w:szCs w:val="32"/>
        </w:rPr>
        <w:t>万元、政府采购工程支出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万元、政府采购服务支出</w:t>
      </w: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万元。授予中小企业合同金额</w:t>
      </w:r>
      <w:r>
        <w:rPr>
          <w:rFonts w:hint="eastAsia" w:ascii="Times New Roman" w:hAnsi="Times New Roman" w:eastAsia="仿宋_GB2312"/>
          <w:color w:val="auto"/>
          <w:sz w:val="32"/>
          <w:szCs w:val="32"/>
          <w:lang w:val="en-US" w:eastAsia="zh-CN"/>
        </w:rPr>
        <w:t>73</w:t>
      </w:r>
      <w:r>
        <w:rPr>
          <w:rFonts w:hint="eastAsia" w:ascii="Times New Roman" w:hAnsi="Times New Roman" w:eastAsia="仿宋_GB2312"/>
          <w:color w:val="auto"/>
          <w:sz w:val="32"/>
          <w:szCs w:val="32"/>
        </w:rPr>
        <w:t>万元，其中：授予小微企业合同金额</w:t>
      </w:r>
      <w:r>
        <w:rPr>
          <w:rFonts w:hint="eastAsia" w:ascii="Times New Roman" w:hAnsi="Times New Roman" w:eastAsia="仿宋_GB2312"/>
          <w:color w:val="auto"/>
          <w:sz w:val="32"/>
          <w:szCs w:val="32"/>
          <w:lang w:val="en-US" w:eastAsia="zh-CN"/>
        </w:rPr>
        <w:t>73</w:t>
      </w:r>
      <w:r>
        <w:rPr>
          <w:rFonts w:hint="eastAsia" w:ascii="Times New Roman" w:hAnsi="Times New Roman" w:eastAsia="仿宋_GB2312"/>
          <w:color w:val="auto"/>
          <w:sz w:val="32"/>
          <w:szCs w:val="32"/>
        </w:rPr>
        <w:t>万元。</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部门（单位）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color w:val="auto"/>
          <w:sz w:val="32"/>
          <w:szCs w:val="32"/>
          <w:lang w:val="en-US" w:eastAsia="zh-CN"/>
        </w:rPr>
        <w:t>生产用车</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万元，占社会保险基金预算支出总额的</w:t>
      </w:r>
      <w:r>
        <w:rPr>
          <w:rFonts w:hint="eastAsia" w:ascii="Times New Roman" w:hAnsi="Times New Roman" w:eastAsia="仿宋_GB2312" w:cs="Times New Roman"/>
          <w:kern w:val="0"/>
          <w:sz w:val="32"/>
          <w:szCs w:val="32"/>
          <w:highlight w:val="none"/>
          <w:lang w:val="en-US" w:eastAsia="zh-CN"/>
        </w:rPr>
        <w:t xml:space="preserve">0 </w:t>
      </w:r>
      <w:r>
        <w:rPr>
          <w:rFonts w:ascii="Times New Roman" w:hAnsi="Times New Roman" w:eastAsia="仿宋_GB2312" w:cs="Times New Roman"/>
          <w:kern w:val="0"/>
          <w:sz w:val="32"/>
          <w:szCs w:val="32"/>
          <w:highlight w:val="none"/>
        </w:rPr>
        <w:t>%。</w:t>
      </w:r>
    </w:p>
    <w:p>
      <w:pPr>
        <w:ind w:firstLine="960" w:firstLineChars="300"/>
        <w:rPr>
          <w:rFonts w:hint="eastAsia" w:ascii="仿宋" w:hAnsi="仿宋" w:eastAsia="仿宋"/>
          <w:sz w:val="32"/>
          <w:szCs w:val="32"/>
          <w:lang w:eastAsia="zh-CN"/>
        </w:rPr>
      </w:pPr>
      <w:r>
        <w:rPr>
          <w:rFonts w:hint="eastAsia" w:ascii="仿宋_GB2312" w:hAnsi="仿宋_GB2312" w:eastAsia="仿宋_GB2312" w:cs="仿宋_GB2312"/>
          <w:color w:val="auto"/>
          <w:sz w:val="32"/>
          <w:szCs w:val="32"/>
        </w:rPr>
        <w:t>我中心较好地完成了202</w:t>
      </w:r>
      <w:r>
        <w:rPr>
          <w:rFonts w:hint="eastAsia" w:ascii="仿宋_GB2312" w:hAnsi="仿宋_GB2312" w:eastAsia="仿宋_GB2312" w:cs="仿宋_GB2312"/>
          <w:color w:val="auto"/>
          <w:sz w:val="32"/>
          <w:szCs w:val="32"/>
          <w:lang w:val="en-US" w:eastAsia="zh-CN"/>
        </w:rPr>
        <w:t>5年</w:t>
      </w:r>
      <w:r>
        <w:rPr>
          <w:rFonts w:hint="eastAsia" w:ascii="仿宋_GB2312" w:hAnsi="仿宋_GB2312" w:eastAsia="仿宋_GB2312" w:cs="仿宋_GB2312"/>
          <w:color w:val="auto"/>
          <w:sz w:val="32"/>
          <w:szCs w:val="32"/>
        </w:rPr>
        <w:t>设定的工作任务，各</w:t>
      </w:r>
      <w:r>
        <w:rPr>
          <w:rFonts w:hint="eastAsia" w:ascii="仿宋_GB2312" w:hAnsi="仿宋_GB2312" w:eastAsia="仿宋_GB2312" w:cs="仿宋_GB2312"/>
          <w:color w:val="auto"/>
          <w:sz w:val="32"/>
          <w:szCs w:val="32"/>
          <w:lang w:eastAsia="zh-CN"/>
        </w:rPr>
        <w:t>部门工作</w:t>
      </w:r>
      <w:r>
        <w:rPr>
          <w:rFonts w:hint="eastAsia" w:ascii="仿宋_GB2312" w:hAnsi="仿宋_GB2312" w:eastAsia="仿宋_GB2312" w:cs="仿宋_GB2312"/>
          <w:color w:val="auto"/>
          <w:sz w:val="32"/>
          <w:szCs w:val="32"/>
        </w:rPr>
        <w:t>得到有序开展</w:t>
      </w:r>
      <w:r>
        <w:rPr>
          <w:rFonts w:hint="eastAsia" w:ascii="仿宋_GB2312" w:hAnsi="仿宋_GB2312" w:eastAsia="仿宋_GB2312" w:cs="仿宋_GB2312"/>
          <w:color w:val="auto"/>
          <w:sz w:val="32"/>
          <w:szCs w:val="32"/>
          <w:lang w:eastAsia="zh-CN"/>
        </w:rPr>
        <w:t>，</w:t>
      </w:r>
      <w:r>
        <w:rPr>
          <w:rFonts w:hint="eastAsia" w:ascii="仿宋" w:hAnsi="仿宋" w:eastAsia="仿宋"/>
          <w:sz w:val="32"/>
          <w:szCs w:val="32"/>
        </w:rPr>
        <w:t>坚持服务至上理念，推进运输结构调整,服务运输经济发展，</w:t>
      </w:r>
      <w:r>
        <w:rPr>
          <w:rFonts w:hint="eastAsia" w:ascii="仿宋" w:hAnsi="仿宋" w:eastAsia="仿宋"/>
          <w:sz w:val="32"/>
          <w:szCs w:val="32"/>
          <w:lang w:eastAsia="zh-CN"/>
        </w:rPr>
        <w:t>主要事业成效如下：</w:t>
      </w:r>
    </w:p>
    <w:p>
      <w:pPr>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一是优化服务提质效。高效办理新能源出租车续牌436台、网约车证212台，完成普货及危货年审5678台次。妥善处置12345及12328热线投诉1444件，扎实开展货车司机投诉处置质量提升工作，切实解决急难愁盼问题。</w:t>
      </w:r>
    </w:p>
    <w:p>
      <w:pPr>
        <w:keepNext w:val="0"/>
        <w:keepLines w:val="0"/>
        <w:pageBreakBefore w:val="0"/>
        <w:widowControl w:val="0"/>
        <w:kinsoku/>
        <w:overflowPunct/>
        <w:topLinePunct w:val="0"/>
        <w:autoSpaceDE/>
        <w:autoSpaceDN/>
        <w:bidi w:val="0"/>
        <w:adjustRightInd/>
        <w:snapToGrid/>
        <w:spacing w:line="480" w:lineRule="auto"/>
        <w:ind w:firstLine="640" w:firstLineChars="2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32"/>
          <w:szCs w:val="32"/>
          <w:highlight w:val="none"/>
        </w:rPr>
        <w:t>二是安全守护驻防线。开展隐患排查整治893次，整改隐患821起。实现“两客一危”车辆100%入网，违规处置率达100%。完成万余辆普货车设备升级，荣获全省道路货物运输安全知识竞赛优秀组织奖，并圆满完成56处铁路沿线隐患整治</w:t>
      </w:r>
      <w:r>
        <w:rPr>
          <w:rFonts w:hint="eastAsia" w:ascii="仿宋_GB2312" w:hAnsi="仿宋_GB2312" w:eastAsia="仿宋_GB2312" w:cs="仿宋_GB2312"/>
          <w:color w:val="000000"/>
          <w:sz w:val="20"/>
          <w:szCs w:val="20"/>
          <w:highlight w:val="none"/>
        </w:rPr>
        <w:t>。</w:t>
      </w:r>
    </w:p>
    <w:p>
      <w:pPr>
        <w:keepNext w:val="0"/>
        <w:keepLines w:val="0"/>
        <w:pageBreakBefore w:val="0"/>
        <w:widowControl w:val="0"/>
        <w:kinsoku/>
        <w:overflowPunct/>
        <w:topLinePunct w:val="0"/>
        <w:autoSpaceDE/>
        <w:autoSpaceDN/>
        <w:bidi w:val="0"/>
        <w:adjustRightInd/>
        <w:snapToGrid/>
        <w:spacing w:line="480" w:lineRule="auto"/>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三是规范管理促发展。全市货运量与货物周转量同比分别增长24.5%和10.3%，增速位居全省第二。全年完工9个站场项目，累计完成投资3.69亿元，并建成集中钣喷中心推动维修行业规范发展。</w:t>
      </w:r>
    </w:p>
    <w:p>
      <w:pPr>
        <w:overflowPunct w:val="0"/>
        <w:spacing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t>四是办好实事惠民生。全面推行“一网通办”，90%以上业务实现远程办理。精准发放油补资金1369.6万元，推动410辆老旧车辆报废补贴。党员干部结对帮扶243名司机，收集解决诉求46条，有效传递了行业温暖。</w:t>
      </w:r>
      <w:r>
        <w:rPr>
          <w:rFonts w:hint="eastAsia" w:ascii="仿宋_GB2312" w:hAnsi="仿宋_GB2312" w:eastAsia="仿宋_GB2312" w:cs="仿宋_GB2312"/>
          <w:color w:val="000000"/>
          <w:sz w:val="32"/>
          <w:szCs w:val="32"/>
          <w:highlight w:val="none"/>
          <w:lang w:val="en-US" w:eastAsia="zh-CN"/>
        </w:rPr>
        <w:t xml:space="preserve">      </w:t>
      </w:r>
    </w:p>
    <w:p>
      <w:pPr>
        <w:numPr>
          <w:ilvl w:val="0"/>
          <w:numId w:val="2"/>
        </w:num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部门评价开展情况</w:t>
      </w:r>
    </w:p>
    <w:p>
      <w:pPr>
        <w:numPr>
          <w:ilvl w:val="0"/>
          <w:numId w:val="0"/>
        </w:num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本单位为二级预算单位，部门评价开展情况可详见上级部门决算公开说明</w:t>
      </w:r>
    </w:p>
    <w:p>
      <w:pPr>
        <w:numPr>
          <w:ilvl w:val="0"/>
          <w:numId w:val="2"/>
        </w:numPr>
        <w:overflowPunct w:val="0"/>
        <w:spacing w:line="600" w:lineRule="exact"/>
        <w:ind w:left="0" w:leftChars="0"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事前绩效评估开展情况</w:t>
      </w:r>
    </w:p>
    <w:p>
      <w:pPr>
        <w:numPr>
          <w:ilvl w:val="0"/>
          <w:numId w:val="0"/>
        </w:numPr>
        <w:overflowPunct w:val="0"/>
        <w:spacing w:line="600" w:lineRule="exact"/>
        <w:ind w:leftChars="200" w:firstLine="320" w:firstLineChars="100"/>
        <w:rPr>
          <w:rFonts w:hint="eastAsia" w:ascii="Times New Roman" w:hAnsi="Times New Roman" w:eastAsia="仿宋_GB2312" w:cs="Times New Roman"/>
          <w:color w:val="auto"/>
          <w:kern w:val="0"/>
          <w:sz w:val="32"/>
          <w:szCs w:val="32"/>
          <w:lang w:val="en-US" w:eastAsia="zh-CN"/>
        </w:rPr>
      </w:pPr>
      <w:r>
        <w:rPr>
          <w:rFonts w:hint="eastAsia" w:ascii="Times New Roman" w:hAnsi="Times New Roman" w:eastAsia="仿宋_GB2312" w:cs="Times New Roman"/>
          <w:color w:val="auto"/>
          <w:kern w:val="0"/>
          <w:sz w:val="32"/>
          <w:szCs w:val="32"/>
          <w:lang w:val="en-US" w:eastAsia="zh-CN"/>
        </w:rPr>
        <w:t>本单位为二级预算单位，事前绩效评估开展情况可详见上级部门决算公开说明。</w:t>
      </w:r>
    </w:p>
    <w:p>
      <w:pPr>
        <w:overflowPunct w:val="0"/>
        <w:spacing w:line="600" w:lineRule="exact"/>
        <w:ind w:firstLine="640" w:firstLineChars="200"/>
        <w:rPr>
          <w:rFonts w:ascii="Times New Roman" w:hAnsi="Times New Roman" w:eastAsia="楷体" w:cs="Times New Roman"/>
          <w:b/>
          <w:bCs/>
          <w:color w:val="auto"/>
          <w:sz w:val="32"/>
          <w:szCs w:val="32"/>
        </w:rPr>
      </w:pP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1906.03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1906.03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方正仿宋_GB2312" w:hAnsi="方正仿宋_GB2312" w:eastAsia="方正仿宋_GB2312" w:cs="方正仿宋_GB2312"/>
          <w:color w:val="000000"/>
          <w:sz w:val="32"/>
          <w:szCs w:val="32"/>
          <w:highlight w:val="none"/>
        </w:rPr>
        <w:t>2025年，岳阳市道路运输服务中心紧扣部门职责与行业发展规划，以“四本预算”资金管理为主线，全面提升资产管理与业务履职效能，整体绩效目标圆满完成。</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highlight w:val="none"/>
        </w:rPr>
        <w:t>在运行成本与管理效率方面，中心坚持过紧日子思想，严格预算执行与绩效目标管理。通过深化“放管服”改革，全面推行“一网通办”与“湘易办”线上办理，90%以上业务实现远程办理，大幅降低了行政运行成本与群众办事成本。全年高效处置各类热线投诉1444件，货车司机投诉处置效率显著提升，实现了政务服务提质增效。</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highlight w:val="none"/>
        </w:rPr>
        <w:t>在履职效能与资产管理方面，中心聚焦主责主业，全年新增及续牌新能源出租车436台，完成普货及危货年审5678台次，指导56家维修企业及驾校规范备案，清理报废教练车68辆。扎实开展隐患排查整治893次，整改隐患821起，“两客一危”车辆100%入网且违规处置率达100%。全年完工9个站场项目，累计完成投资3.69亿元，建成集中钣喷中心，行业基础设施资产效能得到显著盘活与提升。</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highlight w:val="none"/>
        </w:rPr>
        <w:t>在社会效应与可持续发展能力方面，全市货运量与货物周转量同比分别增长24.5%和10.3%，增速位居全省第二，货运市场展现强劲韧性。中心荣获全省道路货物运输安全知识竞赛优秀组织奖，完成56处铁路沿线隐患整治，有力保障了区域交通大动脉的安全畅通。同时，精准发放油补资金1369.6万元，推动410辆老旧车辆报废更新，党员干部结对帮扶243名司机并解决诉求46条，切实增强了新就业形态劳动者的获得感。</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2312" w:hAnsi="方正仿宋_GB2312" w:eastAsia="方正仿宋_GB2312" w:cs="方正仿宋_GB2312"/>
          <w:color w:val="000000"/>
          <w:sz w:val="32"/>
          <w:szCs w:val="32"/>
          <w:highlight w:val="none"/>
        </w:rPr>
      </w:pPr>
      <w:r>
        <w:rPr>
          <w:rFonts w:hint="eastAsia" w:ascii="方正仿宋_GB2312" w:hAnsi="方正仿宋_GB2312" w:eastAsia="方正仿宋_GB2312" w:cs="方正仿宋_GB2312"/>
          <w:color w:val="000000"/>
          <w:sz w:val="32"/>
          <w:szCs w:val="32"/>
          <w:highlight w:val="none"/>
        </w:rPr>
        <w:t>在服务对象满意度方面，中心坚持问题导向，用心用情解决群众及从业人员急难愁盼问题。通过常态化开展行风监督、移动体检专场等活动，有效化解了矛盾纠纷，提升了行业服务质量，群众及货车司机的满意度与归属感持续攀升，实现了社会效益与经济效益的统一。</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eastAsia="仿宋_GB2312" w:cs="Times New Roman"/>
          <w:sz w:val="32"/>
          <w:szCs w:val="32"/>
          <w:highlight w:val="none"/>
          <w:lang w:eastAsia="zh-CN"/>
        </w:rPr>
      </w:pPr>
      <w:r>
        <w:rPr>
          <w:rFonts w:ascii="Times New Roman" w:hAnsi="Times New Roman" w:eastAsia="仿宋_GB2312" w:cs="Times New Roman"/>
          <w:sz w:val="32"/>
          <w:szCs w:val="32"/>
        </w:rPr>
        <w:t>发现的主要问题及原因：</w:t>
      </w:r>
      <w:r>
        <w:rPr>
          <w:rFonts w:hint="eastAsia" w:ascii="方正仿宋_GB2312" w:hAnsi="方正仿宋_GB2312" w:eastAsia="方正仿宋_GB2312" w:cs="方正仿宋_GB2312"/>
          <w:sz w:val="32"/>
          <w:szCs w:val="32"/>
          <w:highlight w:val="none"/>
        </w:rPr>
        <w:t>当前预算绩效目标设定不够科学量化，部分指标难以精准衡量，且绩效评价结果应用机制不健全。部门履职效能方面，面对海量热线投诉，复杂工单处置效率与质量仍有提升空间；“一网通办”虽已推行，但部分从业人员操作不熟练，窗口指导服务仍需优化。资金分配使用上，部分基建项目因前期审批滞后导致资金沉淀，执行进度不均衡。资产与财务管理中，老旧资产核销流程长，存在账实不符风险</w:t>
      </w:r>
      <w:r>
        <w:rPr>
          <w:rFonts w:hint="eastAsia" w:ascii="方正仿宋_GB2312" w:hAnsi="方正仿宋_GB2312" w:eastAsia="方正仿宋_GB2312" w:cs="方正仿宋_GB2312"/>
          <w:sz w:val="32"/>
          <w:szCs w:val="32"/>
          <w:highlight w:val="none"/>
          <w:lang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p>
    <w:p>
      <w:pPr>
        <w:numPr>
          <w:ilvl w:val="0"/>
          <w:numId w:val="3"/>
        </w:num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部门评价结果</w:t>
      </w:r>
    </w:p>
    <w:p>
      <w:pPr>
        <w:pStyle w:val="2"/>
        <w:numPr>
          <w:ilvl w:val="0"/>
          <w:numId w:val="0"/>
        </w:numPr>
        <w:ind w:firstLine="320" w:firstLineChars="100"/>
      </w:pPr>
      <w:r>
        <w:rPr>
          <w:rFonts w:hint="eastAsia" w:ascii="Times New Roman" w:hAnsi="Times New Roman" w:eastAsia="仿宋_GB2312" w:cs="Times New Roman"/>
          <w:color w:val="auto"/>
          <w:kern w:val="0"/>
          <w:sz w:val="32"/>
          <w:szCs w:val="32"/>
          <w:lang w:val="en-US" w:eastAsia="zh-CN"/>
        </w:rPr>
        <w:t>本单位为二级预算单位，部门评价结果可详见上级部门决算公开说明。</w:t>
      </w:r>
    </w:p>
    <w:p>
      <w:pPr>
        <w:numPr>
          <w:ilvl w:val="0"/>
          <w:numId w:val="4"/>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p>
    <w:p>
      <w:pPr>
        <w:numPr>
          <w:ilvl w:val="0"/>
          <w:numId w:val="0"/>
        </w:numPr>
        <w:overflowPunct w:val="0"/>
        <w:spacing w:line="600" w:lineRule="exact"/>
        <w:ind w:leftChars="200" w:firstLine="320" w:firstLineChars="100"/>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本单位为二级预算单位，事前绩效评估结果可详见上级部门决算公开说明。</w:t>
      </w:r>
    </w:p>
    <w:p>
      <w:pPr>
        <w:pStyle w:val="2"/>
      </w:pPr>
    </w:p>
    <w:p>
      <w:pPr>
        <w:numPr>
          <w:ilvl w:val="0"/>
          <w:numId w:val="4"/>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pPr>
        <w:numPr>
          <w:ilvl w:val="0"/>
          <w:numId w:val="0"/>
        </w:numPr>
        <w:autoSpaceDE w:val="0"/>
        <w:autoSpaceDN w:val="0"/>
        <w:adjustRightInd w:val="0"/>
        <w:ind w:firstLine="640" w:firstLineChars="20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请根据</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度绩效自评结果、部门评价结果、</w:t>
      </w:r>
      <w:r>
        <w:rPr>
          <w:rFonts w:hint="eastAsia" w:ascii="Times New Roman" w:hAnsi="Times New Roman" w:eastAsia="仿宋_GB2312" w:cs="Times New Roman"/>
          <w:color w:val="auto"/>
          <w:sz w:val="32"/>
          <w:szCs w:val="32"/>
          <w:highlight w:val="none"/>
          <w:lang w:eastAsia="zh-CN"/>
        </w:rPr>
        <w:t>事前绩效</w:t>
      </w:r>
      <w:r>
        <w:rPr>
          <w:rFonts w:ascii="Times New Roman" w:hAnsi="Times New Roman" w:eastAsia="仿宋_GB2312" w:cs="Times New Roman"/>
          <w:color w:val="auto"/>
          <w:sz w:val="32"/>
          <w:szCs w:val="32"/>
          <w:highlight w:val="none"/>
        </w:rPr>
        <w:t>评价结果对本部门2025年度预算安排，支出结构调整，资金管理，制度建设等方面结果运用进行简要说明。</w:t>
      </w:r>
    </w:p>
    <w:p>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pPr>
        <w:pStyle w:val="10"/>
        <w:rPr>
          <w:rFonts w:hint="eastAsia"/>
          <w:lang w:val="en-US" w:eastAsia="zh-CN"/>
        </w:rPr>
      </w:pPr>
    </w:p>
    <w:p>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r>
        <w:rPr>
          <w:rFonts w:hint="eastAsia" w:ascii="楷体" w:hAnsi="楷体" w:eastAsia="楷体" w:cs="楷体"/>
          <w:b/>
          <w:bCs/>
          <w:i w:val="0"/>
          <w:iCs w:val="0"/>
          <w:color w:val="FF0000"/>
          <w:kern w:val="0"/>
          <w:sz w:val="36"/>
          <w:szCs w:val="36"/>
          <w:lang w:val="en-US" w:eastAsia="zh-CN"/>
        </w:rPr>
        <w:t>1、绩效评价报告（含整体支出和项目支出绩效自评表）必须作为附件上传；</w:t>
      </w:r>
      <w:bookmarkStart w:id="0" w:name="_GoBack"/>
      <w:bookmarkEnd w:id="0"/>
    </w:p>
    <w:p>
      <w:pPr>
        <w:numPr>
          <w:ilvl w:val="0"/>
          <w:numId w:val="0"/>
        </w:numPr>
        <w:autoSpaceDE w:val="0"/>
        <w:autoSpaceDN w:val="0"/>
        <w:adjustRightInd w:val="0"/>
        <w:jc w:val="left"/>
        <w:rPr>
          <w:sz w:val="72"/>
          <w:szCs w:val="72"/>
        </w:rPr>
      </w:pPr>
      <w:r>
        <w:rPr>
          <w:rFonts w:hint="eastAsia" w:ascii="楷体" w:hAnsi="楷体" w:eastAsia="楷体" w:cs="楷体"/>
          <w:b/>
          <w:bCs/>
          <w:i w:val="0"/>
          <w:iCs w:val="0"/>
          <w:color w:val="FF0000"/>
          <w:kern w:val="0"/>
          <w:sz w:val="36"/>
          <w:szCs w:val="36"/>
          <w:lang w:val="en-US" w:eastAsia="zh-CN"/>
        </w:rPr>
        <w:t>2、凡是有公开表3支出决算表中有项目支出的，绩效自评报告中要包含《2025年度项目支出绩效自评表》。</w:t>
      </w:r>
    </w:p>
    <w:p>
      <w:pPr>
        <w:pStyle w:val="15"/>
        <w:jc w:val="both"/>
        <w:rPr>
          <w:rFonts w:hint="eastAsia" w:ascii="方正小标宋_GBK" w:hAnsi="方正小标宋_GBK" w:eastAsia="方正小标宋_GBK" w:cs="方正小标宋_GBK"/>
          <w:sz w:val="24"/>
          <w:szCs w:val="24"/>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pStyle w:val="15"/>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p>
    <w:p>
      <w:pPr>
        <w:pStyle w:val="10"/>
        <w:rPr>
          <w:rFonts w:hint="eastAsia"/>
        </w:rPr>
      </w:pPr>
    </w:p>
    <w:p>
      <w:pPr>
        <w:ind w:firstLine="640" w:firstLineChars="200"/>
        <w:jc w:val="left"/>
        <w:rPr>
          <w:rFonts w:hint="eastAsia" w:ascii="仿宋_GB2312" w:hAnsi="仿宋_GB2312" w:eastAsia="仿宋_GB2312" w:cs="仿宋_GB2312"/>
          <w:color w:val="000000"/>
          <w:kern w:val="0"/>
          <w:sz w:val="32"/>
          <w:szCs w:val="32"/>
        </w:rPr>
      </w:pP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pPr>
        <w:ind w:firstLine="640" w:firstLineChars="200"/>
        <w:jc w:val="left"/>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rPr>
        <w:t>三、</w:t>
      </w:r>
      <w:r>
        <w:rPr>
          <w:rFonts w:hint="eastAsia" w:ascii="仿宋_GB2312" w:hAnsi="仿宋_GB2312" w:eastAsia="仿宋_GB2312" w:cs="仿宋_GB2312"/>
          <w:color w:val="000000"/>
          <w:kern w:val="0"/>
          <w:sz w:val="32"/>
          <w:szCs w:val="32"/>
          <w:lang w:eastAsia="zh-CN"/>
        </w:rPr>
        <w:t>……</w:t>
      </w: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r>
        <w:rPr>
          <w:rFonts w:hint="eastAsia" w:ascii="仿宋_GB2312" w:hAnsi="仿宋_GB2312" w:eastAsia="仿宋_GB2312" w:cs="仿宋_GB2312"/>
          <w:b/>
          <w:bCs/>
          <w:i/>
          <w:color w:val="FF0000"/>
          <w:kern w:val="0"/>
          <w:sz w:val="32"/>
          <w:szCs w:val="32"/>
          <w:lang w:val="en-US" w:eastAsia="zh-CN" w:bidi="ar-SA"/>
        </w:rPr>
        <w:t>（名词解释应包含本部门专有名词，如省财政厅应有对“财政事务”科目的解释，可参考中央相关部门的名词解释）</w:t>
      </w:r>
    </w:p>
    <w:p>
      <w:pPr>
        <w:pStyle w:val="15"/>
        <w:jc w:val="center"/>
        <w:rPr>
          <w:rFonts w:hint="eastAsia" w:ascii="仿宋_GB2312" w:hAnsi="仿宋_GB2312" w:eastAsia="仿宋_GB2312" w:cs="仿宋_GB2312"/>
          <w:sz w:val="32"/>
          <w:szCs w:val="32"/>
        </w:rPr>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Pr>
        <w:pStyle w:val="10"/>
      </w:pPr>
    </w:p>
    <w:p>
      <w:pPr>
        <w:pStyle w:val="6"/>
      </w:pPr>
    </w:p>
    <w:p/>
    <w:p/>
    <w:p>
      <w:pPr>
        <w:pStyle w:val="10"/>
      </w:pPr>
    </w:p>
    <w:p>
      <w:pPr>
        <w:pStyle w:val="15"/>
        <w:jc w:val="both"/>
        <w:rPr>
          <w:rFonts w:hint="eastAsia" w:ascii="方正小标宋_GBK" w:hAnsi="方正小标宋_GBK" w:eastAsia="方正小标宋_GBK" w:cs="方正小标宋_GBK"/>
          <w:sz w:val="72"/>
          <w:szCs w:val="72"/>
        </w:rPr>
      </w:pPr>
    </w:p>
    <w:p>
      <w:pPr>
        <w:pStyle w:val="15"/>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5"/>
        <w:jc w:val="both"/>
        <w:rPr>
          <w:rFonts w:hint="eastAsia" w:ascii="方正小标宋_GBK" w:hAnsi="方正小标宋_GBK" w:eastAsia="方正小标宋_GBK" w:cs="方正小标宋_GBK"/>
          <w:sz w:val="70"/>
          <w:szCs w:val="70"/>
          <w:lang w:eastAsia="zh-CN"/>
        </w:rPr>
      </w:pPr>
    </w:p>
    <w:p>
      <w:pPr>
        <w:pStyle w:val="15"/>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ind w:firstLine="640" w:firstLineChars="200"/>
        <w:jc w:val="left"/>
        <w:rPr>
          <w:rFonts w:hint="eastAsia" w:ascii="宋体" w:hAnsi="宋体" w:eastAsia="宋体" w:cs="黑体"/>
          <w:b/>
          <w:color w:val="000000"/>
          <w:kern w:val="0"/>
          <w:sz w:val="32"/>
          <w:szCs w:val="32"/>
          <w:lang w:val="en-US" w:eastAsia="zh-CN"/>
        </w:rPr>
      </w:pPr>
    </w:p>
    <w:p>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5A009F-91EC-46F3-8243-FFB70B9496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embedRegular r:id="rId2" w:fontKey="{952FE724-1C1F-41A7-BF40-9CEB2ADA7AEA}"/>
  </w:font>
  <w:font w:name="仿宋_GB2312">
    <w:altName w:val="仿宋"/>
    <w:panose1 w:val="02010609030101010101"/>
    <w:charset w:val="86"/>
    <w:family w:val="modern"/>
    <w:pitch w:val="default"/>
    <w:sig w:usb0="00000000" w:usb1="00000000" w:usb2="00000000" w:usb3="00000000" w:csb0="00040000" w:csb1="00000000"/>
    <w:embedRegular r:id="rId3" w:fontKey="{8A8BD835-E913-4619-A8A0-F4001BC793F9}"/>
  </w:font>
  <w:font w:name="楷体_GB2312">
    <w:altName w:val="楷体"/>
    <w:panose1 w:val="02010609030101010101"/>
    <w:charset w:val="86"/>
    <w:family w:val="modern"/>
    <w:pitch w:val="default"/>
    <w:sig w:usb0="00000000" w:usb1="00000000" w:usb2="00000000" w:usb3="00000000" w:csb0="00040000" w:csb1="00000000"/>
    <w:embedRegular r:id="rId4" w:fontKey="{48471E6E-0F37-4BFA-A941-470CB8477FFF}"/>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embedRegular r:id="rId5" w:fontKey="{DC24AD7F-3795-4F1B-BD75-B04B0417745A}"/>
  </w:font>
  <w:font w:name="方正仿宋_GB2312">
    <w:panose1 w:val="02000000000000000000"/>
    <w:charset w:val="86"/>
    <w:family w:val="auto"/>
    <w:pitch w:val="default"/>
    <w:sig w:usb0="A00002BF" w:usb1="184F6CFA" w:usb2="00000012" w:usb3="00000000" w:csb0="00040001" w:csb1="00000000"/>
    <w:embedRegular r:id="rId6" w:fontKey="{49D6ABE9-5483-451F-800B-25558DA00C7E}"/>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5EE0B"/>
    <w:multiLevelType w:val="singleLevel"/>
    <w:tmpl w:val="8055EE0B"/>
    <w:lvl w:ilvl="0" w:tentative="0">
      <w:start w:val="2"/>
      <w:numFmt w:val="decimal"/>
      <w:lvlText w:val="%1."/>
      <w:lvlJc w:val="left"/>
      <w:pPr>
        <w:tabs>
          <w:tab w:val="left" w:pos="312"/>
        </w:tabs>
      </w:pPr>
    </w:lvl>
  </w:abstractNum>
  <w:abstractNum w:abstractNumId="1">
    <w:nsid w:val="8EDECFD4"/>
    <w:multiLevelType w:val="singleLevel"/>
    <w:tmpl w:val="8EDECFD4"/>
    <w:lvl w:ilvl="0" w:tentative="0">
      <w:start w:val="3"/>
      <w:numFmt w:val="chineseCounting"/>
      <w:suff w:val="nothing"/>
      <w:lvlText w:val="（%1）"/>
      <w:lvlJc w:val="left"/>
      <w:rPr>
        <w:rFonts w:hint="eastAsia"/>
      </w:rPr>
    </w:lvl>
  </w:abstractNum>
  <w:abstractNum w:abstractNumId="2">
    <w:nsid w:val="0FAE2AAE"/>
    <w:multiLevelType w:val="singleLevel"/>
    <w:tmpl w:val="0FAE2AAE"/>
    <w:lvl w:ilvl="0" w:tentative="0">
      <w:start w:val="2"/>
      <w:numFmt w:val="decimal"/>
      <w:lvlText w:val="%1."/>
      <w:lvlJc w:val="left"/>
      <w:pPr>
        <w:tabs>
          <w:tab w:val="left" w:pos="312"/>
        </w:tabs>
      </w:pPr>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wNjdkMDk1NWY5NDI2ZTVlNDUwZGFkNjEwNjgwYWI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0CB306FB"/>
    <w:rsid w:val="11944E2C"/>
    <w:rsid w:val="12583BA5"/>
    <w:rsid w:val="13BA5B9C"/>
    <w:rsid w:val="1D97DEFF"/>
    <w:rsid w:val="1DFF72E5"/>
    <w:rsid w:val="1EFC6F07"/>
    <w:rsid w:val="1F0527A6"/>
    <w:rsid w:val="22AC03C2"/>
    <w:rsid w:val="283B15FE"/>
    <w:rsid w:val="2FDF85B8"/>
    <w:rsid w:val="2FFFEE04"/>
    <w:rsid w:val="31C95635"/>
    <w:rsid w:val="34DF85B0"/>
    <w:rsid w:val="3B8F36BC"/>
    <w:rsid w:val="43EB5BA5"/>
    <w:rsid w:val="491FF225"/>
    <w:rsid w:val="4EC310A1"/>
    <w:rsid w:val="4FFD214C"/>
    <w:rsid w:val="5352765A"/>
    <w:rsid w:val="55F60E63"/>
    <w:rsid w:val="5777D4F5"/>
    <w:rsid w:val="57EBA9D6"/>
    <w:rsid w:val="57F22B6F"/>
    <w:rsid w:val="59DD8326"/>
    <w:rsid w:val="5DEF592A"/>
    <w:rsid w:val="5FC6BB1E"/>
    <w:rsid w:val="5FF720F1"/>
    <w:rsid w:val="622964C1"/>
    <w:rsid w:val="67FF5C0B"/>
    <w:rsid w:val="6BAA4A2F"/>
    <w:rsid w:val="6CE71FAE"/>
    <w:rsid w:val="6DDEC5C0"/>
    <w:rsid w:val="6EFC0924"/>
    <w:rsid w:val="6F9E8580"/>
    <w:rsid w:val="6FB74722"/>
    <w:rsid w:val="6FEF8B7E"/>
    <w:rsid w:val="717FE77F"/>
    <w:rsid w:val="71A6591B"/>
    <w:rsid w:val="737D59BA"/>
    <w:rsid w:val="737F32B1"/>
    <w:rsid w:val="73BD3FCA"/>
    <w:rsid w:val="776BDA01"/>
    <w:rsid w:val="77C37683"/>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a heading"/>
    <w:basedOn w:val="1"/>
    <w:next w:val="1"/>
    <w:qFormat/>
    <w:uiPriority w:val="99"/>
    <w:pPr>
      <w:spacing w:before="120" w:after="200" w:line="276" w:lineRule="auto"/>
    </w:pPr>
    <w:rPr>
      <w:rFonts w:ascii="Arial" w:hAnsi="Arial"/>
      <w:sz w:val="24"/>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6563</Words>
  <Characters>7056</Characters>
  <Lines>63</Lines>
  <Paragraphs>18</Paragraphs>
  <TotalTime>11</TotalTime>
  <ScaleCrop>false</ScaleCrop>
  <LinksUpToDate>false</LinksUpToDate>
  <CharactersWithSpaces>7085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戴岑</cp:lastModifiedBy>
  <cp:lastPrinted>2026-09-09T06:11:00Z</cp:lastPrinted>
  <dcterms:modified xsi:type="dcterms:W3CDTF">2026-09-10T03:01:19Z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B4B5F6201E70474BBC2ECE8CF9D43E26_13</vt:lpwstr>
  </property>
</Properties>
</file>