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741B5">
      <w:pPr>
        <w:pStyle w:val="12"/>
        <w:jc w:val="center"/>
        <w:rPr>
          <w:sz w:val="56"/>
          <w:szCs w:val="56"/>
        </w:rPr>
      </w:pPr>
    </w:p>
    <w:p w14:paraId="02FADCB3">
      <w:pPr>
        <w:pStyle w:val="12"/>
        <w:jc w:val="center"/>
        <w:rPr>
          <w:sz w:val="56"/>
          <w:szCs w:val="56"/>
        </w:rPr>
      </w:pPr>
    </w:p>
    <w:p w14:paraId="7C044B4B">
      <w:pPr>
        <w:pStyle w:val="12"/>
        <w:jc w:val="center"/>
        <w:rPr>
          <w:sz w:val="84"/>
          <w:szCs w:val="84"/>
        </w:rPr>
      </w:pPr>
    </w:p>
    <w:p w14:paraId="39433B21">
      <w:pPr>
        <w:pStyle w:val="12"/>
        <w:jc w:val="center"/>
        <w:rPr>
          <w:sz w:val="84"/>
          <w:szCs w:val="84"/>
        </w:rPr>
      </w:pPr>
    </w:p>
    <w:p w14:paraId="0CC8AB4B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度</w:t>
      </w:r>
    </w:p>
    <w:p w14:paraId="65620690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岳阳市水运事务中心</w:t>
      </w:r>
    </w:p>
    <w:p w14:paraId="2EC686AC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</w:t>
      </w:r>
    </w:p>
    <w:p w14:paraId="51D6E22A">
      <w:pPr>
        <w:pStyle w:val="12"/>
        <w:jc w:val="center"/>
        <w:rPr>
          <w:rFonts w:hint="eastAsia" w:ascii="方正小标宋_GBK" w:hAnsi="方正小标宋_GBK" w:eastAsia="方正小标宋_GBK" w:cs="方正小标宋_GBK"/>
          <w:sz w:val="56"/>
          <w:szCs w:val="56"/>
        </w:rPr>
      </w:pPr>
    </w:p>
    <w:p w14:paraId="35B3C3C2">
      <w:pPr>
        <w:pStyle w:val="12"/>
        <w:jc w:val="center"/>
        <w:rPr>
          <w:sz w:val="56"/>
          <w:szCs w:val="56"/>
        </w:rPr>
      </w:pPr>
    </w:p>
    <w:p w14:paraId="25D8A134">
      <w:pPr>
        <w:pStyle w:val="12"/>
        <w:jc w:val="center"/>
        <w:rPr>
          <w:sz w:val="56"/>
          <w:szCs w:val="56"/>
        </w:rPr>
      </w:pPr>
    </w:p>
    <w:p w14:paraId="71C6C811">
      <w:pPr>
        <w:pStyle w:val="12"/>
        <w:jc w:val="center"/>
        <w:rPr>
          <w:sz w:val="56"/>
          <w:szCs w:val="56"/>
        </w:rPr>
      </w:pPr>
    </w:p>
    <w:p w14:paraId="6CEED59D">
      <w:pPr>
        <w:pStyle w:val="12"/>
        <w:jc w:val="center"/>
        <w:rPr>
          <w:sz w:val="32"/>
          <w:szCs w:val="32"/>
        </w:rPr>
      </w:pPr>
    </w:p>
    <w:p w14:paraId="5D487D88">
      <w:pPr>
        <w:pStyle w:val="12"/>
        <w:jc w:val="center"/>
        <w:rPr>
          <w:sz w:val="32"/>
          <w:szCs w:val="32"/>
        </w:rPr>
      </w:pPr>
    </w:p>
    <w:p w14:paraId="460BC6F6">
      <w:pPr>
        <w:pStyle w:val="12"/>
        <w:jc w:val="center"/>
        <w:rPr>
          <w:sz w:val="32"/>
          <w:szCs w:val="32"/>
        </w:rPr>
      </w:pPr>
    </w:p>
    <w:p w14:paraId="30E80604">
      <w:pPr>
        <w:pStyle w:val="12"/>
        <w:jc w:val="center"/>
        <w:rPr>
          <w:sz w:val="32"/>
          <w:szCs w:val="32"/>
        </w:rPr>
      </w:pPr>
    </w:p>
    <w:p w14:paraId="7F4D3273">
      <w:pPr>
        <w:pStyle w:val="12"/>
        <w:jc w:val="center"/>
        <w:rPr>
          <w:sz w:val="32"/>
          <w:szCs w:val="32"/>
        </w:rPr>
      </w:pPr>
    </w:p>
    <w:p w14:paraId="23271E58">
      <w:pPr>
        <w:pStyle w:val="12"/>
        <w:spacing w:line="540" w:lineRule="exact"/>
        <w:jc w:val="center"/>
        <w:rPr>
          <w:sz w:val="56"/>
          <w:szCs w:val="56"/>
        </w:rPr>
      </w:pPr>
    </w:p>
    <w:p w14:paraId="7D4C8875">
      <w:pPr>
        <w:pStyle w:val="12"/>
        <w:spacing w:line="500" w:lineRule="exact"/>
        <w:jc w:val="both"/>
        <w:rPr>
          <w:b/>
          <w:sz w:val="36"/>
          <w:szCs w:val="28"/>
        </w:rPr>
      </w:pPr>
    </w:p>
    <w:p w14:paraId="2B249F70">
      <w:pPr>
        <w:pStyle w:val="12"/>
        <w:spacing w:line="500" w:lineRule="exact"/>
        <w:jc w:val="center"/>
        <w:rPr>
          <w:b/>
          <w:sz w:val="36"/>
          <w:szCs w:val="28"/>
        </w:rPr>
      </w:pPr>
      <w:r>
        <w:rPr>
          <w:rFonts w:hint="eastAsia"/>
          <w:b/>
          <w:sz w:val="36"/>
          <w:szCs w:val="28"/>
        </w:rPr>
        <w:t>目录</w:t>
      </w:r>
    </w:p>
    <w:p w14:paraId="4274499E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第一部分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XX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部门（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单位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概况</w:t>
      </w:r>
    </w:p>
    <w:p w14:paraId="08D33D2E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一、部门职责</w:t>
      </w:r>
    </w:p>
    <w:p w14:paraId="4F1ECA60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二、机构设置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及决算单位构成</w:t>
      </w:r>
    </w:p>
    <w:p w14:paraId="6DCED93C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第二部分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部门决算表</w:t>
      </w:r>
    </w:p>
    <w:p w14:paraId="7DC2205C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一、收入支出决算总表</w:t>
      </w:r>
    </w:p>
    <w:p w14:paraId="577D0844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二、收入决算表</w:t>
      </w:r>
    </w:p>
    <w:p w14:paraId="550DD48F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三、支出决算表</w:t>
      </w:r>
    </w:p>
    <w:p w14:paraId="79EF2469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四、财政拨款收入支出决算总表</w:t>
      </w:r>
    </w:p>
    <w:p w14:paraId="7021C61C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五、一般公共预算财政拨款支出决算表</w:t>
      </w:r>
    </w:p>
    <w:p w14:paraId="1ADBF991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六、一般公共预算财政拨款基本支出决算明细表</w:t>
      </w:r>
    </w:p>
    <w:p w14:paraId="6D477AFF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七、政府性基金预算财政拨款收入支出决算表</w:t>
      </w:r>
    </w:p>
    <w:p w14:paraId="4920FE7F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八、国有资本经营预算财政拨款支出决算表</w:t>
      </w:r>
    </w:p>
    <w:p w14:paraId="5BB9A700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九、财政拨款“三公”经费支出决算表</w:t>
      </w:r>
    </w:p>
    <w:p w14:paraId="39460C8B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第三部分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部门决算情况说明</w:t>
      </w:r>
    </w:p>
    <w:p w14:paraId="45E03173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一、收入支出决算总体情况说明</w:t>
      </w:r>
    </w:p>
    <w:p w14:paraId="30CAD8BA">
      <w:pPr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二、收入决算情况说明</w:t>
      </w:r>
    </w:p>
    <w:p w14:paraId="185FA79E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三、支出决算情况说明</w:t>
      </w:r>
    </w:p>
    <w:p w14:paraId="43E3A1DD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四、财政拨款收入支出决算总体情况说明</w:t>
      </w:r>
    </w:p>
    <w:p w14:paraId="0E527B44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五、一般公共预算财政拨款支出决算情况说明</w:t>
      </w:r>
    </w:p>
    <w:p w14:paraId="548BC7B9">
      <w:pPr>
        <w:autoSpaceDE w:val="0"/>
        <w:autoSpaceDN w:val="0"/>
        <w:adjustRightInd w:val="0"/>
        <w:spacing w:line="500" w:lineRule="exact"/>
        <w:ind w:firstLine="700" w:firstLineChars="25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六、一般公共预算财政拨款基本支出决算情况说明</w:t>
      </w:r>
    </w:p>
    <w:p w14:paraId="43FA1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七、政府性基金预算收入支出决算情况</w:t>
      </w:r>
    </w:p>
    <w:p w14:paraId="07EDC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</w:rPr>
        <w:t>八、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国有资本经营预算财政拨款支出决算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情况</w:t>
      </w:r>
    </w:p>
    <w:p w14:paraId="36C77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九、财政拨款三公经费支出决算情况说明</w:t>
      </w:r>
    </w:p>
    <w:p w14:paraId="1A728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十、关于机关运行经费支出说明</w:t>
      </w:r>
    </w:p>
    <w:p w14:paraId="23545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十一、一般性支出情况说明</w:t>
      </w:r>
    </w:p>
    <w:p w14:paraId="0CA3D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关于政府采购支出说明</w:t>
      </w:r>
    </w:p>
    <w:p w14:paraId="2E77F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80" w:lineRule="exact"/>
        <w:ind w:firstLine="700" w:firstLineChars="25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-SA"/>
        </w:rPr>
        <w:t>十三、关于国有资产占用情况说明</w:t>
      </w:r>
    </w:p>
    <w:p w14:paraId="069F86DB">
      <w:pPr>
        <w:pStyle w:val="12"/>
        <w:spacing w:line="500" w:lineRule="exact"/>
        <w:ind w:firstLine="700" w:firstLineChars="25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-SA"/>
        </w:rPr>
        <w:t>十四、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关于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度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绩效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管理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情况的说明</w:t>
      </w:r>
    </w:p>
    <w:p w14:paraId="17E3AF35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第四部分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名词解释</w:t>
      </w:r>
    </w:p>
    <w:p w14:paraId="16D0B169">
      <w:pPr>
        <w:pStyle w:val="12"/>
        <w:spacing w:line="500" w:lineRule="exact"/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第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部分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 xml:space="preserve"> </w:t>
      </w:r>
      <w:r>
        <w:rPr>
          <w:rFonts w:hint="eastAsia" w:hAnsi="黑体" w:cs="黑体"/>
          <w:b w:val="0"/>
          <w:bCs/>
          <w:sz w:val="28"/>
          <w:szCs w:val="28"/>
          <w:lang w:eastAsia="zh-CN"/>
        </w:rPr>
        <w:t>附件</w:t>
      </w:r>
    </w:p>
    <w:p w14:paraId="23CDC293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E54D04D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8300466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 xml:space="preserve">第一部分 </w:t>
      </w:r>
    </w:p>
    <w:p w14:paraId="34D4002F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C2DD2C4">
      <w:pPr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  <w:lang w:eastAsia="zh-CN"/>
        </w:rPr>
        <w:t>岳阳市水运事务中心</w:t>
      </w: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概况</w:t>
      </w:r>
    </w:p>
    <w:p w14:paraId="0CD5001C">
      <w:pPr>
        <w:pStyle w:val="2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0067415C">
      <w:pPr>
        <w:pStyle w:val="3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71D0B65">
      <w:pPr>
        <w:pStyle w:val="3"/>
        <w:ind w:left="0" w:leftChars="0" w:firstLine="0" w:firstLineChars="0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33F75B83">
      <w:pPr>
        <w:pStyle w:val="3"/>
        <w:ind w:left="0" w:leftChars="0" w:firstLine="0" w:firstLineChars="0"/>
        <w:rPr>
          <w:rFonts w:hint="eastAsia"/>
        </w:rPr>
      </w:pPr>
    </w:p>
    <w:p w14:paraId="5C898637">
      <w:pPr>
        <w:rPr>
          <w:rFonts w:hint="eastAsia"/>
        </w:rPr>
      </w:pPr>
    </w:p>
    <w:p w14:paraId="6DCC2ABC">
      <w:pPr>
        <w:pStyle w:val="13"/>
        <w:numPr>
          <w:ilvl w:val="0"/>
          <w:numId w:val="1"/>
        </w:numPr>
        <w:ind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部门职责</w:t>
      </w:r>
    </w:p>
    <w:p w14:paraId="340DBD29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（一）为机关提供支持保障的职能。</w:t>
      </w:r>
    </w:p>
    <w:p w14:paraId="3C090BF8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1、参与拟订水路交通发展规划、地方性法规、规章技术规范相关事务性工作。</w:t>
      </w:r>
    </w:p>
    <w:p w14:paraId="5918B710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、负责水上交通通航及通航环境管理、港口码头及其作业污染水域、水上水下施工作业、工程管理及水路危货运输、监督管理的行政辅助工作，负责组织水上搜救、沉船沉物打捞及水上救援等技术支撑工作，负责水上交通、船舶污染和港口污染事故调查处理的技术支撑工作。</w:t>
      </w:r>
    </w:p>
    <w:p w14:paraId="26BAABA8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3、负责权限范围内船员、船舶登记、船舶安全监督和船舶进出港报告管理的行政辅助工作。</w:t>
      </w:r>
    </w:p>
    <w:p w14:paraId="3EBCB3E7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4、负责船舶（含渔船）、水上设施和船用产品法定检验的事务性工作等；负责船舶法定检验质量管理体系运行的指导协调工作；按规定权限对船舶设计图纸提出审查建议意见。</w:t>
      </w:r>
    </w:p>
    <w:p w14:paraId="60FE013C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5、负责水路运输及运输辅助业市场、港口搬运市场、船舶交易市场管理相关事务性工作；负责防汛抢险和水路战备运输等应急运输保障的行政辅助工作。</w:t>
      </w:r>
    </w:p>
    <w:p w14:paraId="69DFD622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6、负责地方航道管理的行政辅助工作；负责地方航道通航条件影响评价的技术支撑工作；负责所辖地方航道航标及助航标志的设置；参与协调水资源综合利用事务。</w:t>
      </w:r>
    </w:p>
    <w:p w14:paraId="70654CA5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7、负责港口建设工程施工许可、竣工验收的行政辅助工作；负责水路交通运输行业相关信息收集、统计工作。</w:t>
      </w:r>
    </w:p>
    <w:p w14:paraId="4BB266AD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8、负责全市水路交通领域安全巡查、宣传教育工作。</w:t>
      </w:r>
    </w:p>
    <w:p w14:paraId="0BB6DFB6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（二）面向社会提供公益服务的职能。</w:t>
      </w:r>
    </w:p>
    <w:p w14:paraId="2245A649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1、负责发布航道通告和航道水情通报，向进出港船舶船员发布航行有关安全信息和提供咨询服务等工作。</w:t>
      </w:r>
    </w:p>
    <w:p w14:paraId="2EA20A81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（三）完成市交通运输局交办的其他任务。</w:t>
      </w:r>
    </w:p>
    <w:p w14:paraId="10783BD3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二、机构设置及决算单位构成</w:t>
      </w:r>
    </w:p>
    <w:p w14:paraId="5A1ADE2B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一）内设机构设置。岳阳市水运事务中心内设机构包括：岳阳市水运事务中心包括7个内设机构：综合部、人事部、安全法务部、船舶船员部、港航运输部、装备信息部、水上环保事务部；2个分支机构：市水上交通应急救援指挥所、市沿江港口事务所；1各下属正科级事业单位：岳阳市船舶检验服务中心。</w:t>
      </w:r>
    </w:p>
    <w:p w14:paraId="32BA64A1">
      <w:pPr>
        <w:ind w:firstLine="800" w:firstLineChars="250"/>
        <w:jc w:val="left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（二）决算单位构成。本单位无独立核算的下属单位，2025年度部门决算汇总公开单位仅包括岳阳市水运事务中心本级。</w:t>
      </w:r>
    </w:p>
    <w:p w14:paraId="3665433B">
      <w:pPr>
        <w:pStyle w:val="2"/>
      </w:pPr>
    </w:p>
    <w:p w14:paraId="77976AA1">
      <w:pPr>
        <w:pStyle w:val="3"/>
      </w:pPr>
    </w:p>
    <w:p w14:paraId="6F12CBD1"/>
    <w:p w14:paraId="2E2860A2">
      <w:pPr>
        <w:pStyle w:val="2"/>
      </w:pPr>
    </w:p>
    <w:p w14:paraId="460ECA4F">
      <w:pPr>
        <w:pStyle w:val="3"/>
      </w:pPr>
    </w:p>
    <w:p w14:paraId="6176D099"/>
    <w:p w14:paraId="3B0AB13E">
      <w:pPr>
        <w:pStyle w:val="2"/>
      </w:pPr>
    </w:p>
    <w:p w14:paraId="2B019005">
      <w:pPr>
        <w:pStyle w:val="3"/>
      </w:pPr>
    </w:p>
    <w:p w14:paraId="5F4D277A"/>
    <w:p w14:paraId="0D45674A">
      <w:pPr>
        <w:pStyle w:val="2"/>
      </w:pPr>
    </w:p>
    <w:p w14:paraId="2B7EE4BA">
      <w:pPr>
        <w:pStyle w:val="3"/>
      </w:pPr>
    </w:p>
    <w:p w14:paraId="049FAC55"/>
    <w:p w14:paraId="24EEB62F">
      <w:pPr>
        <w:pStyle w:val="2"/>
      </w:pPr>
    </w:p>
    <w:p w14:paraId="7A06CDB8">
      <w:pPr>
        <w:pStyle w:val="3"/>
      </w:pPr>
    </w:p>
    <w:p w14:paraId="50368973"/>
    <w:p w14:paraId="7F0183F8">
      <w:pPr>
        <w:pStyle w:val="2"/>
      </w:pPr>
    </w:p>
    <w:p w14:paraId="5EBC52DD">
      <w:pPr>
        <w:pStyle w:val="3"/>
      </w:pPr>
    </w:p>
    <w:p w14:paraId="7244081A"/>
    <w:p w14:paraId="184CDC8C">
      <w:pPr>
        <w:pStyle w:val="2"/>
      </w:pPr>
    </w:p>
    <w:p w14:paraId="2E7A9378">
      <w:pPr>
        <w:pStyle w:val="3"/>
      </w:pPr>
    </w:p>
    <w:p w14:paraId="7308AB2D"/>
    <w:p w14:paraId="3F9595D4">
      <w:pPr>
        <w:pStyle w:val="2"/>
      </w:pPr>
    </w:p>
    <w:p w14:paraId="0121B287">
      <w:pPr>
        <w:pStyle w:val="3"/>
      </w:pPr>
    </w:p>
    <w:p w14:paraId="1A27DBBC"/>
    <w:p w14:paraId="3635E97A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2C54B7F4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738B872D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第二部分</w:t>
      </w:r>
    </w:p>
    <w:p w14:paraId="678BAECE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</w:p>
    <w:p w14:paraId="55A870A8">
      <w:pPr>
        <w:pStyle w:val="12"/>
        <w:jc w:val="center"/>
        <w:rPr>
          <w:rFonts w:hint="eastAsia" w:ascii="方正小标宋_GBK" w:hAnsi="方正小标宋_GBK" w:eastAsia="方正小标宋_GBK" w:cs="方正小标宋_GBK"/>
          <w:sz w:val="84"/>
          <w:szCs w:val="84"/>
        </w:rPr>
      </w:pPr>
      <w:r>
        <w:rPr>
          <w:rFonts w:hint="eastAsia" w:ascii="方正小标宋_GBK" w:hAnsi="方正小标宋_GBK" w:eastAsia="方正小标宋_GBK" w:cs="方正小标宋_GBK"/>
          <w:sz w:val="84"/>
          <w:szCs w:val="84"/>
        </w:rPr>
        <w:t>部门决算表</w:t>
      </w:r>
    </w:p>
    <w:p w14:paraId="41CDA8C5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  <w:t>（见附件）</w:t>
      </w:r>
    </w:p>
    <w:p w14:paraId="5E790AF1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5E8ED7B0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5C3082F0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0F659D60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25239B3E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4300D566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15FECA85">
      <w:pPr>
        <w:pStyle w:val="12"/>
        <w:jc w:val="center"/>
        <w:rPr>
          <w:rFonts w:hint="eastAsia" w:ascii="仿宋_GB2312" w:hAnsi="仿宋_GB2312" w:eastAsia="仿宋_GB2312" w:cs="仿宋_GB2312"/>
          <w:b w:val="0"/>
          <w:bCs w:val="0"/>
          <w:sz w:val="72"/>
          <w:szCs w:val="72"/>
          <w:lang w:eastAsia="zh-CN"/>
        </w:rPr>
      </w:pPr>
    </w:p>
    <w:p w14:paraId="2D67325F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14AF06F4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139AB442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034DA1ED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第三部分</w:t>
      </w:r>
    </w:p>
    <w:p w14:paraId="1C0C38CF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3B3AD70D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2025年</w:t>
      </w:r>
      <w:r>
        <w:rPr>
          <w:rFonts w:hint="eastAsia" w:ascii="方正小标宋_GBK" w:hAnsi="方正小标宋_GBK" w:eastAsia="方正小标宋_GBK" w:cs="方正小标宋_GBK"/>
          <w:sz w:val="70"/>
          <w:szCs w:val="70"/>
        </w:rPr>
        <w:t>度部门决算情况说明</w:t>
      </w:r>
    </w:p>
    <w:p w14:paraId="5D74D41A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2FD0E524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48A2655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341BD6E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6F5F314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32C9C13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</w:p>
    <w:p w14:paraId="041318BA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决算编制时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至“金额单位：元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本套部门决算文字说明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和公开表格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</w:t>
      </w:r>
      <w:r>
        <w:rPr>
          <w:rFonts w:hint="eastAsia" w:ascii="仿宋_GB2312" w:hAnsi="仿宋_GB2312" w:eastAsia="仿宋_GB2312" w:cs="仿宋_GB2312"/>
          <w:sz w:val="32"/>
          <w:szCs w:val="32"/>
        </w:rPr>
        <w:t>取数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转换为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金额单位：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万元”，可能导致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以下文字说明中的各项数据取数以及公开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表格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中的各项数据取数之间存在</w:t>
      </w:r>
      <w:r>
        <w:rPr>
          <w:rFonts w:hint="eastAsia" w:ascii="仿宋_GB2312" w:hAnsi="仿宋_GB2312" w:eastAsia="仿宋_GB2312" w:cs="仿宋_GB2312"/>
          <w:sz w:val="32"/>
          <w:szCs w:val="32"/>
        </w:rPr>
        <w:t>0.01的尾数差异。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2、以下文字说明中，部分科目由于预算数为0，无法计算完成年初预算的百分比，故未描述“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完成年初预算的XX%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6E8B21E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一、收入支出决算总体情况说明</w:t>
      </w:r>
    </w:p>
    <w:p w14:paraId="58F2EA3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度收、支总计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15801.96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万元。与上年相比，增加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13804.77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万元，增长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691.2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%，主要是因为一般公共预算财政拨款上升1639.81万元；政府性基金预算财政拨款收入上升12164.96万元。</w:t>
      </w:r>
    </w:p>
    <w:p w14:paraId="3A26F15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二、收入决算情况说明</w:t>
      </w:r>
    </w:p>
    <w:p w14:paraId="463A0DA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度收入合计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15801.96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万元，其中：财政拨款收入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15801.96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%；上级补助收入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%；事业收入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%；附属单位上缴收入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%；其他收入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6563AAC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三、支出决算情况说明</w:t>
      </w:r>
    </w:p>
    <w:p w14:paraId="61A5254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度支出合计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15801.96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2034.8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12.88</w:t>
      </w:r>
      <w:r>
        <w:rPr>
          <w:rFonts w:hint="eastAsia" w:ascii="仿宋_GB2312" w:hAnsi="仿宋_GB2312" w:eastAsia="仿宋_GB2312" w:cs="仿宋_GB2312"/>
          <w:sz w:val="32"/>
          <w:szCs w:val="32"/>
        </w:rPr>
        <w:t>%；项目支出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13767.16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87.12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%；上缴上级支出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%；经营支出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%；对附属单位补助支出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5B884A7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四、财政拨款收入支出决算总体情况说明</w:t>
      </w:r>
    </w:p>
    <w:p w14:paraId="4F4DE06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="楷体" w:hAnsi="楷体" w:eastAsia="楷体" w:cs="楷体"/>
          <w:i/>
          <w:i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度财政拨款收、支总计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15801.96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万元，与上年相比，增加13804.77万元,增长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691.2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%，主要是因为一般公共预算财政拨款上升1639.81万元；政府性基金预算财政拨款收入上升12164.96万元。</w:t>
      </w:r>
    </w:p>
    <w:p w14:paraId="5EC2A66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五、一般公共预算财政拨款支出决算情况说明</w:t>
      </w:r>
    </w:p>
    <w:p w14:paraId="2F0D645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（一）一般公共预算财政拨款支出决算总体情况</w:t>
      </w:r>
    </w:p>
    <w:p w14:paraId="5BF8AFD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3637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23.02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%，与上年相比，财政拨款支出增加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1639.81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82.11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%，主要是因为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、开展2024年船舶岸电设施改造项目，拨付资金111万元；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、支付2023年水路集装箱运输发展奖补资金39.1万元；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、支付2024年湖南省水路运力结构调整、危化品船舶洗舱奖补资金共1268.29万元；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、支付战备演习专项资金3万元；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、因本年度单位人数增加6人，导致人员经费及公用经费有所增加；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、本年度我单位开展乡村振兴工作，产生相关支出约7万元；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、购买、更换部分船检、业务部门专业设备约18万元。</w:t>
      </w:r>
    </w:p>
    <w:p w14:paraId="7A185BF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（二）一般公共预算财政拨款支出决算结构情况</w:t>
      </w:r>
    </w:p>
    <w:p w14:paraId="20FB375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3637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万元，主要用于以下方面：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交通运输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3064.67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84.26</w:t>
      </w:r>
      <w:r>
        <w:rPr>
          <w:rFonts w:hint="eastAsia" w:ascii="仿宋_GB2312" w:hAnsi="仿宋_GB2312" w:eastAsia="仿宋_GB2312" w:cs="仿宋_GB2312"/>
          <w:sz w:val="32"/>
          <w:szCs w:val="32"/>
        </w:rPr>
        <w:t>%；一般公共服务（类）支出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180.81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4.97</w:t>
      </w:r>
      <w:r>
        <w:rPr>
          <w:rFonts w:hint="eastAsia" w:ascii="仿宋_GB2312" w:hAnsi="仿宋_GB2312" w:eastAsia="仿宋_GB2312" w:cs="仿宋_GB2312"/>
          <w:sz w:val="32"/>
          <w:szCs w:val="32"/>
        </w:rPr>
        <w:t>%；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社会保障和就业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122.6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3.37</w:t>
      </w:r>
      <w:r>
        <w:rPr>
          <w:rFonts w:hint="eastAsia" w:ascii="仿宋_GB2312" w:hAnsi="仿宋_GB2312" w:eastAsia="仿宋_GB2312" w:cs="仿宋_GB2312"/>
          <w:sz w:val="32"/>
          <w:szCs w:val="32"/>
        </w:rPr>
        <w:t>%;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卫生健康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0.25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0.01</w:t>
      </w:r>
      <w:r>
        <w:rPr>
          <w:rFonts w:hint="eastAsia" w:ascii="仿宋_GB2312" w:hAnsi="仿宋_GB2312" w:eastAsia="仿宋_GB2312" w:cs="仿宋_GB2312"/>
          <w:sz w:val="32"/>
          <w:szCs w:val="32"/>
        </w:rPr>
        <w:t>%；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城乡社区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4.93</w:t>
      </w:r>
      <w:r>
        <w:rPr>
          <w:rFonts w:hint="eastAsia" w:ascii="仿宋_GB2312" w:hAnsi="仿宋_GB2312" w:eastAsia="仿宋_GB2312" w:cs="仿宋_GB2312"/>
          <w:sz w:val="32"/>
          <w:szCs w:val="32"/>
        </w:rPr>
        <w:t>%；住房保障（类）支出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2.46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53A89E1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（三）一般公共预算财政拨款支出决算具体情况</w:t>
      </w:r>
    </w:p>
    <w:p w14:paraId="44302CF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度财政拨款支出年初预算数为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1630.5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万元，支出决算数为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3637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223.06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</w:t>
      </w:r>
    </w:p>
    <w:p w14:paraId="65BEF3D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1、一般公共服务（类）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政府办公厅（室）及相关机构事务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（款）其他政府办公厅（室）及相关机构事务支出（项）。</w:t>
      </w:r>
    </w:p>
    <w:p w14:paraId="679D701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180.81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万元，决算数大于年初预算数的主要原因是：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该项目为年中追加预算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6345638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2、社会保障和就业支出（类）行政事业单位养老支出（款）机关事业单位基本养老保险缴费支出（项）。</w:t>
      </w:r>
    </w:p>
    <w:p w14:paraId="0E79C5B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118.27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108.6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91.82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%，决算数小于年初预算数的主要原因是：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2人退休。</w:t>
      </w:r>
    </w:p>
    <w:p w14:paraId="1EE9D6F6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社会保障和就业支出（类）抚恤（款）其他优抚支出（项）。</w:t>
      </w:r>
    </w:p>
    <w:p w14:paraId="029A6ED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</w:t>
      </w:r>
      <w:r>
        <w:rPr>
          <w:rFonts w:hint="eastAsia" w:ascii="仿宋_GB2312" w:hAnsi="仿宋_GB2312" w:eastAsia="仿宋_GB2312" w:cs="仿宋_GB2312"/>
          <w:sz w:val="32"/>
          <w:szCs w:val="32"/>
        </w:rPr>
        <w:t>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该项目为年中追加预算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6EB621D0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社会保障和就业支出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残疾人事业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其他残疾人事业支出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6C577CB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11.28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我单位严格按照要求缴纳残保金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1F064A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社会保障和就业支出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其他社会保障和就业支出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其他社会保障和就业支出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02D0102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192.21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年中追加了工伤保险等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4F1E208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卫生健康支出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行政事业单位医疗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事业单位医疗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4118BB9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0.25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该项目为年中追加预算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5C33B0C1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城乡社区支出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城乡社区规划与管理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城乡社区规划与管理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5894359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179.19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该项目为年中追加预算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36CA1640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交通运输支出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公路水路运输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行政运行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2A90EE7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1397.05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1616.36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115.7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本单位新进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4人，调入3人，导致年中追加人员经费。</w:t>
      </w:r>
    </w:p>
    <w:p w14:paraId="13E295E2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交通运输支出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公路水路运输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其他公路水路运输支出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0E8BE5B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39.1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该项目为年中追加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2023年水路集装箱运输发展奖补资金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9B0AA86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交通运输支出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其他交通运输支出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其他交通运输支出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4F2284E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1409.21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该项目为年中追加的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2024年船舶岸电设施改造项目</w:t>
      </w:r>
      <w:r>
        <w:rPr>
          <w:rFonts w:hint="eastAsia" w:ascii="仿宋_GB2312" w:hAnsi="仿宋" w:eastAsia="仿宋_GB2312" w:cs="仿宋"/>
          <w:color w:val="000000"/>
          <w:sz w:val="32"/>
          <w:szCs w:val="32"/>
          <w:lang w:eastAsia="zh-CN"/>
        </w:rPr>
        <w:t>、2024年湖南省水路运力结构调整、危化品船舶洗舱奖补等项目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D5605C6">
      <w:pPr>
        <w:pStyle w:val="1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住房保障支出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住房改革支出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住房公积金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（项）。</w:t>
      </w:r>
    </w:p>
    <w:p w14:paraId="6D3304A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800" w:firstLineChars="25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85.27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89.48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万元，完成年初预算的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104.94</w:t>
      </w:r>
      <w:r>
        <w:rPr>
          <w:rFonts w:hint="eastAsia" w:ascii="仿宋_GB2312" w:hAnsi="仿宋_GB2312" w:eastAsia="仿宋_GB2312" w:cs="仿宋_GB2312"/>
          <w:sz w:val="32"/>
          <w:szCs w:val="32"/>
        </w:rPr>
        <w:t>%，决算数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大于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本单位新进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5人，调入3人，导致年中追加人员公积金。</w:t>
      </w:r>
    </w:p>
    <w:p w14:paraId="766BE37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六、一般公共预算财政拨款基本支出决算情况说明</w:t>
      </w:r>
    </w:p>
    <w:p w14:paraId="73FC2E9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财政拨款基本支出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2034.8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</w:p>
    <w:p w14:paraId="73EC00FE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1379.64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67.8</w:t>
      </w:r>
      <w:r>
        <w:rPr>
          <w:rFonts w:hint="eastAsia" w:ascii="仿宋_GB2312" w:hAnsi="仿宋_GB2312" w:eastAsia="仿宋_GB2312" w:cs="仿宋_GB2312"/>
          <w:sz w:val="32"/>
          <w:szCs w:val="32"/>
        </w:rPr>
        <w:t>%,主要包括基本工资、津贴补贴、奖金、伙食补助费、机关事业单位基本养老保险缴费、职工基本医疗保险缴费、其他社会保险缴费、住房公积金、医疗费、对个人和家庭的补助、退休费、生活补助、医疗费补助、奖励金、抚恤金、其他对个人和家庭的补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3AFDA5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公用经费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655.16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万元，占基本支出的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主要包括办公费、印刷费、咨询费、水费、电费、邮电费、物业管理费、差旅费、维修（护）费、培训费、公务接待费、专用燃料费、劳务费、业务委托费、工会经费、福利费、公务用车运行维护费、其他交通费用、其他商品和服务支出、专用设备购置办公设备购置。</w:t>
      </w:r>
    </w:p>
    <w:p w14:paraId="23E2006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七、政府性基金预算收入支出决算情况</w:t>
      </w:r>
    </w:p>
    <w:p w14:paraId="125920F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/>
          <w:i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度政府性基金预算财政拨款收入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万元；年初结转和结余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万元；年末结转和结余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万元。具体情况如下：</w:t>
      </w:r>
    </w:p>
    <w:p w14:paraId="6731CED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交通运输支出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（类）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超长期特别国债安排的支出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（款）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公路水路运输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（项）。</w:t>
      </w:r>
    </w:p>
    <w:p w14:paraId="03D3C19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年初预算为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万元，支出决算为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12164.96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万元，决算数大于年初预算数的主要原因是：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该项目为年中追加2024年度船舶拆解奖补资金及2025年度船舶拆解奖补资金预算</w:t>
      </w:r>
    </w:p>
    <w:p w14:paraId="3BA9E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-SA"/>
        </w:rPr>
        <w:t>八、国有资本经营预算财政拨款支出决算情况</w:t>
      </w:r>
    </w:p>
    <w:p w14:paraId="0E51BA1B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2025年度国有资本经营预算财政拨款收入0万元；年初结转和结余0万；支出0万元，其中：基本支出0万元，项目支出0万元；年末结转和结余0万元。</w:t>
      </w:r>
    </w:p>
    <w:p w14:paraId="3AAF2686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hAnsi="黑体" w:cs="黑体"/>
          <w:b w:val="0"/>
          <w:bCs/>
          <w:sz w:val="32"/>
          <w:szCs w:val="32"/>
          <w:lang w:eastAsia="zh-CN"/>
        </w:rPr>
        <w:t>九、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财政拨款三公经费支出决算情况说明</w:t>
      </w:r>
    </w:p>
    <w:p w14:paraId="22835B9A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经费财政拨款支出决算总体情况说明</w:t>
      </w:r>
    </w:p>
    <w:p w14:paraId="10252897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0.26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0.26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19.39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98.68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我单位严格按照预算支出三公经费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2024年底因公车改革取消我单位公车2辆，减少了公务车运行维护费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D8CB4A1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lang w:eastAsia="zh-CN"/>
        </w:rPr>
        <w:t>“三公”</w:t>
      </w:r>
      <w:r>
        <w:rPr>
          <w:rFonts w:ascii="Times New Roman" w:hAnsi="Times New Roman" w:eastAsia="楷体_GB2312" w:cs="Times New Roman"/>
          <w:b/>
          <w:sz w:val="32"/>
          <w:szCs w:val="32"/>
        </w:rPr>
        <w:t>经费财政拨款支出决算具体情况说明</w:t>
      </w:r>
    </w:p>
    <w:p w14:paraId="14DA58C2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1.因公出国（境）费支出预算为0万元，支出决算为0万元，决算数等于预算数，主要原因是我单位严格按预算执行决算；与上年一致，无增减变动，主要原因是未安排因公出国（境）活动。202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年度安排因公出国（境）团组0个，累计0人次。</w:t>
      </w:r>
    </w:p>
    <w:p w14:paraId="6E0D7060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18.96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 w14:paraId="3A61F627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决算数等于预算数，主要原因是我单位严格按预算执行决算；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与上年一致，无增减变动，主要原因是两年均未购置公务用车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7DE337E0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18.96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2024年底因公车改革取消我单位公车2辆，2025年无公务车运行维护费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03181318">
      <w:pPr>
        <w:pStyle w:val="12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sz w:val="32"/>
          <w:szCs w:val="32"/>
        </w:rPr>
        <w:t>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0.26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0.26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%；与上年相比减少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0.43</w:t>
      </w:r>
      <w:r>
        <w:rPr>
          <w:rFonts w:ascii="Times New Roman" w:hAnsi="Times New Roman" w:eastAsia="仿宋_GB2312" w:cs="Times New Roman"/>
          <w:sz w:val="32"/>
          <w:szCs w:val="32"/>
        </w:rPr>
        <w:t>万元，降低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62.32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我单位严格按预算执行决算</w:t>
      </w:r>
      <w:r>
        <w:rPr>
          <w:rFonts w:ascii="Times New Roman" w:hAnsi="Times New Roman" w:eastAsia="仿宋_GB2312" w:cs="Times New Roman"/>
          <w:sz w:val="32"/>
          <w:szCs w:val="32"/>
        </w:rPr>
        <w:t>。决算数小于上年数的主要原因是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本年度会议及调研较上年度有所减少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sz w:val="32"/>
          <w:szCs w:val="32"/>
        </w:rPr>
        <w:t>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 w:cs="Times New Roman"/>
          <w:sz w:val="32"/>
          <w:szCs w:val="32"/>
        </w:rPr>
        <w:t>人次，主要是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调研考察</w:t>
      </w:r>
      <w:r>
        <w:rPr>
          <w:rFonts w:ascii="Times New Roman" w:hAnsi="Times New Roman" w:eastAsia="仿宋_GB2312" w:cs="Times New Roman"/>
          <w:sz w:val="32"/>
          <w:szCs w:val="32"/>
        </w:rPr>
        <w:t>发生的接待支出。</w:t>
      </w:r>
    </w:p>
    <w:p w14:paraId="202E53B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/>
          <w:b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b/>
          <w:color w:val="auto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/>
          <w:b/>
          <w:color w:val="auto"/>
          <w:sz w:val="32"/>
          <w:szCs w:val="32"/>
        </w:rPr>
        <w:t>、关于机关运行经费支出说明</w:t>
      </w:r>
    </w:p>
    <w:p w14:paraId="4AFCA9CB">
      <w:pPr>
        <w:pStyle w:val="12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度机关运行经费支出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655.16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比上年决算数减少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  <w:t>127.16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万元，降低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  <w:t>16.25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%。主要原因是：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年将城区水域船舶污染物接收、处置费用列入机关运行经费，本年计入项目支出</w:t>
      </w:r>
      <w:r>
        <w:rPr>
          <w:rFonts w:hint="eastAsia" w:ascii="楷体" w:hAnsi="楷体" w:eastAsia="楷体" w:cs="楷体"/>
          <w:sz w:val="32"/>
          <w:szCs w:val="32"/>
        </w:rPr>
        <w:t>。</w:t>
      </w:r>
    </w:p>
    <w:p w14:paraId="6A13AAE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、一般性支出情况说明</w:t>
      </w:r>
    </w:p>
    <w:p w14:paraId="7E047788">
      <w:pPr>
        <w:pStyle w:val="12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年度，会议费年初预算0.5万元，支出决算为0.75万元，完成年初预算的150%。用于召开安全、船检等会议，</w:t>
      </w:r>
      <w:r>
        <w:rPr>
          <w:rFonts w:hint="eastAsia" w:ascii="仿宋_GB2312" w:hAnsi="仿宋_GB2312" w:eastAsia="仿宋_GB2312" w:cs="仿宋_GB2312"/>
          <w:sz w:val="32"/>
          <w:szCs w:val="32"/>
        </w:rPr>
        <w:t>人数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120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人，内容为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船舶检验知识更新，安全例会等。</w:t>
      </w:r>
    </w:p>
    <w:p w14:paraId="17595AA1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培训费年初预算0.5万元，支出决算为0.75万元，完成年初预算的150%。用于开展新进人员培训，人数4人，内容为公务员入职培训。</w:t>
      </w:r>
    </w:p>
    <w:p w14:paraId="473FAB88">
      <w:pPr>
        <w:widowControl w:val="0"/>
        <w:autoSpaceDE w:val="0"/>
        <w:autoSpaceDN w:val="0"/>
        <w:adjustRightInd w:val="0"/>
        <w:ind w:firstLine="640" w:firstLineChars="200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举办节庆、晚会、论坛、赛事活动年初预算0万元，支出决算为0万元，完成年初预算的0%，本单位无举办节庆、晚会、论坛、赛事等活动的预算和支出决算数。</w:t>
      </w:r>
    </w:p>
    <w:p w14:paraId="0CF0749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十</w:t>
      </w:r>
      <w:r>
        <w:rPr>
          <w:rFonts w:hint="eastAsia" w:hAnsi="黑体" w:cs="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、关于政府采购支出说明</w:t>
      </w:r>
    </w:p>
    <w:p w14:paraId="7B6C979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度政府采购支出总额522.49万元，其中：政府采购货物支出123.61万元、政府采购工程支出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万元、政府采购服务支出398.88万元。授予中小企业合同金额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522.49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万元，占政府采购支出总额的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%，其中：授予小微企业合同金额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522.49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授予中小企业合同金额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%。货物采购授予中小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企业合同金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额占货物支出金额的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%，工程采购授予中小企业合同金额占工程支出金额的比重，由于合同金额为0，故无法计算各项占比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服务采购授予中小企业合同金额占服务支出金额的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%。</w:t>
      </w:r>
    </w:p>
    <w:p w14:paraId="1179542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  <w:t>、关于国有资产占用情况说明</w:t>
      </w:r>
    </w:p>
    <w:p w14:paraId="0E9B588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2025年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12月31日，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部门（单位）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共有车辆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，副部（省）级及以上领导用车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主要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机要通信用车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辆、应急保障用车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辆、执法执勤用车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辆、特种专业技术用车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离退休干部服务用车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辆、其他用车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辆；单位价值100万元以上设备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（不含车辆）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4F46900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十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、关于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2025年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度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预算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绩效</w:t>
      </w:r>
      <w:r>
        <w:rPr>
          <w:rFonts w:hint="eastAsia" w:hAnsi="黑体" w:cs="黑体"/>
          <w:b w:val="0"/>
          <w:bCs/>
          <w:color w:val="auto"/>
          <w:sz w:val="32"/>
          <w:szCs w:val="32"/>
          <w:highlight w:val="none"/>
          <w:lang w:eastAsia="zh-CN"/>
        </w:rPr>
        <w:t>管理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</w:rPr>
        <w:t>情况的说明</w:t>
      </w:r>
    </w:p>
    <w:p w14:paraId="33F3CF58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</w:t>
      </w:r>
    </w:p>
    <w:p w14:paraId="4BF958A9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绩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效自评开展情况。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13767.16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1602.2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44.05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12164.96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 w14:paraId="1DFEDD2B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度我单位以习近平新时代中国特色社会主义思想为指导，全面贯彻党的二十大和二十届历次全会精神，认真落实全省水运工作会议、全市交通运输工作会议部署，凝心聚力、扎实工作，为中国式现代化“七个岳阳”建设贡献水运力量，全力保障水运各项工作有序推进，统筹推进港口提质增效、航运绿色转型、通航安全保障、服务效能优化等重点工作，水运事业发展取得显著成效。</w:t>
      </w:r>
    </w:p>
    <w:p w14:paraId="4A4656A2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在2025年度整体支出绩效目标上，完成情况良好，自评得分99.91分。在整体支出绩效运行中细化指标，共设置一级指标3个，二级指标11个，三级指标15个。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部门评价开展情况。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本单位为二级预算单位，部门评价开展情况可详见上级部门决算公开说明。</w:t>
      </w:r>
    </w:p>
    <w:p w14:paraId="73F2CD7A">
      <w:pPr>
        <w:overflowPunct w:val="0"/>
        <w:spacing w:line="600" w:lineRule="exact"/>
        <w:ind w:firstLine="640" w:firstLineChars="200"/>
        <w:rPr>
          <w:rFonts w:ascii="Times New Roman" w:hAnsi="Times New Roman" w:eastAsia="楷体" w:cs="Times New Roman"/>
          <w:b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Times New Roman"/>
          <w:b/>
          <w:bCs/>
          <w:color w:val="auto"/>
          <w:kern w:val="0"/>
          <w:sz w:val="32"/>
          <w:szCs w:val="32"/>
        </w:rPr>
        <w:t>事前绩效评估开展情况。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本单位为二级预算单位，事前绩效评估开展情况可详见上级部门决算公开说明</w:t>
      </w:r>
    </w:p>
    <w:p w14:paraId="152BC8C3">
      <w:pPr>
        <w:overflowPunct w:val="0"/>
        <w:spacing w:line="600" w:lineRule="exact"/>
        <w:ind w:firstLine="640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</w:t>
      </w:r>
    </w:p>
    <w:p w14:paraId="066FB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绩效自评结果。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2025年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度本部门（单位）整体支出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16023.10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15870.93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99.05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99.91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优秀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在效益指标方面：水运结构调整深入推进，全年拆解老旧营运船舶86艘，水路运力结构持续优化，绿色水运发展成效显著。水域防污管理持续增强，全市接收处置船舶生活垃圾474.2吨、生活污水2.89万吨、含油污水3290吨，全省占比分别达38%、54%、76%；船舶洗舱监管加强，洗舱站作业39艘次；靠港船舶使用岸电4036艘次、用电量282.14万千瓦时，占全省99%，以实干实效守护一江碧水。安全屏障持续巩固，围绕水上客运安全组织开展多项专项整治行动，常态化抓好岸线、企业、渡口巡查，排查安全隐患全部整改到位、实行闭环管理；完成城区水域航道监控系统升级改造，在全省率先完成船舶智能监控设备安装，覆盖客渡船66艘、货运船舶237艘，水上交通安全监管智能化水平显著提升。党建引领作用充分发挥，干部队伍建设不断加强，服务能力持续提升。在产出指标方面，全市辖区岸线471公里、已建成港口150个，水上通航秩序持续优化，港口运营高效有序。在成本指标方面，我单位在预算内完成所有工作，未对社会及生态环境产生负面影响。在满意度指标方面，服务对象满意度达95%以上</w:t>
      </w:r>
      <w:r>
        <w:rPr>
          <w:rFonts w:ascii="Times New Roman" w:hAnsi="Times New Roman" w:eastAsia="仿宋_GB2312" w:cs="Times New Roman"/>
          <w:sz w:val="32"/>
          <w:szCs w:val="32"/>
        </w:rPr>
        <w:t>。发现的主要问题及原因：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一是预算绩效管理有待加强，绩效指标设置精准性不够，事中监控相对薄弱，评价结果应用不充分，原因是全过程绩效管理理念树得不牢，制度机制不够健全。二是部门履职效能有待提升，信息化智能化手段应用不够充分，专业人才相对不足，工作协同联动不够顺畅，原因是创新意识不强，人才培养激励机制不够完善。三是资金管理有待规范，部分项目资金下达较晚影响执行进度，资金整合力度不够，使用精细化水平不高，原因是上级资金下达周期长，专项资金管理体制不够灵活。四是资产财务和政府采购管理有待提质，资产台账更新不及时，使用效益不高，采购规范化水平有待提升，原因是资产管理责任制落实不到位，政府采购专业化能力不足。针对上述问题，我们将高度重视，采取有力措施切实加以整改</w:t>
      </w:r>
      <w:r>
        <w:rPr>
          <w:rFonts w:ascii="Times New Roman" w:hAnsi="Times New Roman" w:eastAsia="仿宋_GB2312" w:cs="Times New Roman"/>
          <w:sz w:val="32"/>
          <w:szCs w:val="32"/>
        </w:rPr>
        <w:t>。下一步改进措施：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一是全面加强预算绩效管理，健全绩效指标体系，增加量化指标比重，强化绩效运行全过程监控，建立动态跟踪预警机制，深化绩效评价结果应用，将评价结果与预算安排、干部考核紧密挂钩。二是着力提升部门履职效能，加快推进水运治理信息化智能化建设，加强专业人才队伍建设，完善人才引进培养激励机制，健全部门协同联动机制，形成工作合力。三是严格规范资金使用管理，加强与上级部门沟通衔接，加快预算执行进度，加大资金统筹整合力度，提高资金使用整体效益，推进项目精细化管理，提升预算编制科学性和精准度。四是不断提升资产财务和政府采购管理水平，落实资产管理责任制，健全资产台账，完善资产共享共用机制，提高资产使用效益，加强政府采购专业化能力建设，规范采购流程，提升采购质量和效率。通过以上措施，不断提升预算管理和绩效工作水平，推动水运事业高质量发展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00BD38FE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部门评价结果。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本单位为二级预算单位，部门评价结果可详见上级部门决算公开说明</w:t>
      </w:r>
    </w:p>
    <w:p w14:paraId="1004E6D7">
      <w:pPr>
        <w:overflowPunct w:val="0"/>
        <w:spacing w:line="600" w:lineRule="exact"/>
        <w:ind w:firstLine="640" w:firstLineChars="200"/>
        <w:rPr>
          <w:rFonts w:hint="eastAsia" w:ascii="Times New Roman" w:hAnsi="Times New Roman" w:eastAsia="仿宋_GB2312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highlight w:val="none"/>
          <w:lang w:val="en-US" w:eastAsia="zh-CN"/>
        </w:rPr>
        <w:t>事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  <w:highlight w:val="none"/>
        </w:rPr>
        <w:t>前绩效评估结果。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本单位为二级预算单位，事前绩效评估结果可详见上级部门决算公开说明</w:t>
      </w:r>
    </w:p>
    <w:p w14:paraId="135E8C91">
      <w:pPr>
        <w:numPr>
          <w:ilvl w:val="0"/>
          <w:numId w:val="3"/>
        </w:numPr>
        <w:autoSpaceDE w:val="0"/>
        <w:autoSpaceDN w:val="0"/>
        <w:adjustRightInd w:val="0"/>
        <w:ind w:firstLine="640" w:firstLineChars="200"/>
        <w:jc w:val="left"/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  <w:highlight w:val="none"/>
        </w:rPr>
        <w:t>评价结果应用情况</w:t>
      </w:r>
    </w:p>
    <w:p w14:paraId="09362A65">
      <w:pPr>
        <w:autoSpaceDE w:val="0"/>
        <w:autoSpaceDN w:val="0"/>
        <w:adjustRightInd w:val="0"/>
        <w:ind w:firstLine="640" w:firstLineChars="200"/>
        <w:jc w:val="left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2025年我单位绩效自评99.91分，预算执行率99.05%，水运绿色发展、安全监管等工作成效突出，群众满意度95%以上。结合绩效评价发现的指标设置不精准、资金管理不规范、履职效能不足等问题，我单位优化预算编制与支出结构，倾斜保障重点水运工作，强化资金全过程管控，完善绩效、资产、采购管理制度，补齐人才与信息化短板，全面提升资金使用效益和履职质效。</w:t>
      </w:r>
    </w:p>
    <w:p w14:paraId="21B8FF44">
      <w:pPr>
        <w:autoSpaceDE w:val="0"/>
        <w:autoSpaceDN w:val="0"/>
        <w:adjustRightInd w:val="0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预算绩效管理开展情况、绩效目标和绩效评价报告等，已在市政府部门财政预决算公开平台上向社会公开，详见附件。</w:t>
      </w:r>
    </w:p>
    <w:p w14:paraId="4EAA6F44">
      <w:pPr>
        <w:pStyle w:val="2"/>
        <w:rPr>
          <w:rFonts w:hint="eastAsia"/>
          <w:lang w:val="en-US" w:eastAsia="zh-CN"/>
        </w:rPr>
      </w:pPr>
    </w:p>
    <w:p w14:paraId="4D107FFD"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楷体" w:hAnsi="楷体" w:eastAsia="楷体" w:cs="楷体"/>
          <w:b/>
          <w:bCs/>
          <w:i w:val="0"/>
          <w:iCs w:val="0"/>
          <w:color w:val="FF0000"/>
          <w:kern w:val="0"/>
          <w:sz w:val="36"/>
          <w:szCs w:val="36"/>
          <w:lang w:val="en-US" w:eastAsia="zh-CN"/>
        </w:rPr>
      </w:pPr>
    </w:p>
    <w:p w14:paraId="32CBBBEE">
      <w:pPr>
        <w:numPr>
          <w:ilvl w:val="0"/>
          <w:numId w:val="0"/>
        </w:numPr>
        <w:autoSpaceDE w:val="0"/>
        <w:autoSpaceDN w:val="0"/>
        <w:adjustRightInd w:val="0"/>
        <w:jc w:val="left"/>
        <w:rPr>
          <w:sz w:val="72"/>
          <w:szCs w:val="72"/>
        </w:rPr>
      </w:pPr>
      <w:bookmarkStart w:id="0" w:name="_GoBack"/>
      <w:bookmarkEnd w:id="0"/>
    </w:p>
    <w:p w14:paraId="797E3F91">
      <w:pPr>
        <w:pStyle w:val="12"/>
        <w:jc w:val="both"/>
        <w:rPr>
          <w:rFonts w:hint="eastAsia" w:ascii="方正小标宋_GBK" w:hAnsi="方正小标宋_GBK" w:eastAsia="方正小标宋_GBK" w:cs="方正小标宋_GBK"/>
          <w:sz w:val="24"/>
          <w:szCs w:val="24"/>
        </w:rPr>
      </w:pPr>
    </w:p>
    <w:p w14:paraId="35350853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588DFDDD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1F3CB3E2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1A84A9F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6AE99A87">
      <w:pPr>
        <w:pStyle w:val="12"/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第四部分</w:t>
      </w:r>
    </w:p>
    <w:p w14:paraId="53A4A53E"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</w:pPr>
    </w:p>
    <w:p w14:paraId="7E010EDA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70"/>
          <w:szCs w:val="70"/>
        </w:rPr>
        <w:t>名词解释</w:t>
      </w:r>
    </w:p>
    <w:p w14:paraId="3BCFFC28">
      <w:pPr>
        <w:pStyle w:val="2"/>
      </w:pPr>
    </w:p>
    <w:p w14:paraId="4A793BFA">
      <w:pPr>
        <w:pStyle w:val="3"/>
      </w:pPr>
    </w:p>
    <w:p w14:paraId="3541280B"/>
    <w:p w14:paraId="143FD682">
      <w:pPr>
        <w:pStyle w:val="2"/>
      </w:pPr>
    </w:p>
    <w:p w14:paraId="5C58D75F">
      <w:pPr>
        <w:pStyle w:val="3"/>
      </w:pPr>
    </w:p>
    <w:p w14:paraId="1289BE11"/>
    <w:p w14:paraId="070C8AD1">
      <w:pPr>
        <w:pStyle w:val="2"/>
      </w:pPr>
    </w:p>
    <w:p w14:paraId="5B74DC4E">
      <w:pPr>
        <w:pStyle w:val="3"/>
      </w:pPr>
    </w:p>
    <w:p w14:paraId="1FFE3AEE"/>
    <w:p w14:paraId="060E949F">
      <w:pPr>
        <w:pStyle w:val="2"/>
      </w:pPr>
    </w:p>
    <w:p w14:paraId="796B6480">
      <w:pPr>
        <w:pStyle w:val="3"/>
      </w:pPr>
    </w:p>
    <w:p w14:paraId="407EE028"/>
    <w:p w14:paraId="316163F3">
      <w:pPr>
        <w:pStyle w:val="2"/>
      </w:pPr>
    </w:p>
    <w:p w14:paraId="366DCE7E">
      <w:pPr>
        <w:pStyle w:val="3"/>
      </w:pPr>
    </w:p>
    <w:p w14:paraId="6E3B3B88"/>
    <w:p w14:paraId="119B91F0">
      <w:pPr>
        <w:pStyle w:val="2"/>
      </w:pPr>
    </w:p>
    <w:p w14:paraId="2E31EE09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B5F7026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409D048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1134C4DC">
      <w:pPr>
        <w:pStyle w:val="2"/>
        <w:rPr>
          <w:rFonts w:hint="eastAsia"/>
        </w:rPr>
      </w:pPr>
    </w:p>
    <w:p w14:paraId="45DBD30B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E6F9853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6C7E8938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二、机关运行经费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，指为保障行政单位（包括参照公务员法管理的事业单位）运行用于购买货物和服务的各项资金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，包括办公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费、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印刷费、邮电费、差旅费、会议费、日常维修费、专用材料及一般设备购置费、办公用房水电费、办公用房取暖费、办公用房物业管理费、公务用车运行维护费以及其他费用。</w:t>
      </w:r>
    </w:p>
    <w:p w14:paraId="2188B409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……</w:t>
      </w:r>
    </w:p>
    <w:p w14:paraId="41BCF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</w:p>
    <w:p w14:paraId="4816F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</w:p>
    <w:p w14:paraId="28B8E8A3">
      <w:pPr>
        <w:pStyle w:val="12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9930EA">
      <w:pPr>
        <w:pStyle w:val="3"/>
      </w:pPr>
    </w:p>
    <w:p w14:paraId="51914F41"/>
    <w:p w14:paraId="76BDA521">
      <w:pPr>
        <w:pStyle w:val="2"/>
      </w:pPr>
    </w:p>
    <w:p w14:paraId="3BD7F430">
      <w:pPr>
        <w:pStyle w:val="3"/>
      </w:pPr>
    </w:p>
    <w:p w14:paraId="72584951"/>
    <w:p w14:paraId="6661EDB7">
      <w:pPr>
        <w:pStyle w:val="2"/>
      </w:pPr>
    </w:p>
    <w:p w14:paraId="0A310ABC">
      <w:pPr>
        <w:pStyle w:val="3"/>
      </w:pPr>
    </w:p>
    <w:p w14:paraId="16EDFA1B"/>
    <w:p w14:paraId="55C09034">
      <w:pPr>
        <w:pStyle w:val="2"/>
      </w:pPr>
    </w:p>
    <w:p w14:paraId="54BB1859">
      <w:pPr>
        <w:pStyle w:val="3"/>
      </w:pPr>
    </w:p>
    <w:p w14:paraId="0ABB12DC"/>
    <w:p w14:paraId="6FDA3EDE">
      <w:pPr>
        <w:pStyle w:val="2"/>
      </w:pPr>
    </w:p>
    <w:p w14:paraId="3552A6AE">
      <w:pPr>
        <w:pStyle w:val="3"/>
      </w:pPr>
    </w:p>
    <w:p w14:paraId="01062558"/>
    <w:p w14:paraId="61982CFC">
      <w:pPr>
        <w:pStyle w:val="2"/>
      </w:pPr>
    </w:p>
    <w:p w14:paraId="4802B4B9">
      <w:pPr>
        <w:pStyle w:val="3"/>
      </w:pPr>
    </w:p>
    <w:p w14:paraId="67960E55"/>
    <w:p w14:paraId="71DA142E">
      <w:pPr>
        <w:pStyle w:val="2"/>
      </w:pPr>
    </w:p>
    <w:p w14:paraId="7F21616F">
      <w:pPr>
        <w:pStyle w:val="3"/>
      </w:pPr>
    </w:p>
    <w:p w14:paraId="5112315E"/>
    <w:p w14:paraId="5D277986"/>
    <w:p w14:paraId="66527218">
      <w:pPr>
        <w:pStyle w:val="2"/>
      </w:pPr>
    </w:p>
    <w:p w14:paraId="1D5A82CC">
      <w:pPr>
        <w:pStyle w:val="12"/>
        <w:jc w:val="both"/>
        <w:rPr>
          <w:rFonts w:hint="eastAsia" w:ascii="方正小标宋_GBK" w:hAnsi="方正小标宋_GBK" w:eastAsia="方正小标宋_GBK" w:cs="方正小标宋_GBK"/>
          <w:sz w:val="72"/>
          <w:szCs w:val="72"/>
        </w:rPr>
      </w:pPr>
    </w:p>
    <w:p w14:paraId="36835D66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第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部分</w:t>
      </w:r>
    </w:p>
    <w:p w14:paraId="09F372A4">
      <w:pPr>
        <w:pStyle w:val="12"/>
        <w:jc w:val="both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</w:p>
    <w:p w14:paraId="622FD681">
      <w:pPr>
        <w:pStyle w:val="12"/>
        <w:jc w:val="center"/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附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70"/>
          <w:szCs w:val="70"/>
          <w:lang w:eastAsia="zh-CN"/>
        </w:rPr>
        <w:t>件</w:t>
      </w:r>
    </w:p>
    <w:p w14:paraId="22BBA266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</w:p>
    <w:p w14:paraId="2BB87376">
      <w:pPr>
        <w:ind w:firstLine="640" w:firstLineChars="200"/>
        <w:jc w:val="left"/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部门决算公开表格</w:t>
      </w:r>
    </w:p>
    <w:p w14:paraId="5FA3DD92">
      <w:pPr>
        <w:ind w:firstLine="640" w:firstLineChars="200"/>
        <w:jc w:val="left"/>
        <w:rPr>
          <w:rFonts w:ascii="宋体" w:hAnsi="宋体" w:eastAsia="宋体" w:cs="黑体"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  <w:highlight w:val="none"/>
          <w:lang w:eastAsia="zh-CN"/>
        </w:rPr>
        <w:t>2025年</w:t>
      </w:r>
      <w:r>
        <w:rPr>
          <w:rFonts w:hint="eastAsia" w:ascii="宋体" w:hAnsi="宋体" w:eastAsia="宋体" w:cs="黑体"/>
          <w:b/>
          <w:color w:val="000000"/>
          <w:kern w:val="0"/>
          <w:sz w:val="32"/>
          <w:szCs w:val="32"/>
        </w:rPr>
        <w:t>度部门整体支出绩效评价报告</w:t>
      </w:r>
    </w:p>
    <w:p w14:paraId="2033B06C"/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ECFD4"/>
    <w:multiLevelType w:val="singleLevel"/>
    <w:tmpl w:val="8EDECFD4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73518C1"/>
    <w:multiLevelType w:val="multilevel"/>
    <w:tmpl w:val="373518C1"/>
    <w:lvl w:ilvl="0" w:tentative="0">
      <w:start w:val="1"/>
      <w:numFmt w:val="none"/>
      <w:lvlText w:val="一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FEF946"/>
    <w:multiLevelType w:val="singleLevel"/>
    <w:tmpl w:val="5AFEF946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B4D8E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59958AD"/>
    <w:rsid w:val="06C857E7"/>
    <w:rsid w:val="08C24A73"/>
    <w:rsid w:val="11944E2C"/>
    <w:rsid w:val="12583BA5"/>
    <w:rsid w:val="13BA5B9C"/>
    <w:rsid w:val="1D97DEFF"/>
    <w:rsid w:val="1DFF72E5"/>
    <w:rsid w:val="1EFC6F07"/>
    <w:rsid w:val="1F0527A6"/>
    <w:rsid w:val="22AC03C2"/>
    <w:rsid w:val="283B15FE"/>
    <w:rsid w:val="2FDF85B8"/>
    <w:rsid w:val="2FFFEE04"/>
    <w:rsid w:val="31C95635"/>
    <w:rsid w:val="34DF85B0"/>
    <w:rsid w:val="3B8F36BC"/>
    <w:rsid w:val="43EB5BA5"/>
    <w:rsid w:val="491FF225"/>
    <w:rsid w:val="4EC310A1"/>
    <w:rsid w:val="4FFD214C"/>
    <w:rsid w:val="5352765A"/>
    <w:rsid w:val="5777D4F5"/>
    <w:rsid w:val="57EBA9D6"/>
    <w:rsid w:val="57F22B6F"/>
    <w:rsid w:val="59DD8326"/>
    <w:rsid w:val="5DEF592A"/>
    <w:rsid w:val="5FC6BB1E"/>
    <w:rsid w:val="5FF720F1"/>
    <w:rsid w:val="622964C1"/>
    <w:rsid w:val="67F34795"/>
    <w:rsid w:val="67FF5C0B"/>
    <w:rsid w:val="6BAA4A2F"/>
    <w:rsid w:val="6DDEC5C0"/>
    <w:rsid w:val="6EFC0924"/>
    <w:rsid w:val="6F9CA165"/>
    <w:rsid w:val="6F9E8580"/>
    <w:rsid w:val="6FB74722"/>
    <w:rsid w:val="6FEF8B7E"/>
    <w:rsid w:val="717FE77F"/>
    <w:rsid w:val="71A6591B"/>
    <w:rsid w:val="737D59BA"/>
    <w:rsid w:val="737F32B1"/>
    <w:rsid w:val="73BD3FCA"/>
    <w:rsid w:val="73F7528D"/>
    <w:rsid w:val="756F1D6F"/>
    <w:rsid w:val="75EC4B94"/>
    <w:rsid w:val="776BDA01"/>
    <w:rsid w:val="77C37683"/>
    <w:rsid w:val="79F50198"/>
    <w:rsid w:val="79FF515B"/>
    <w:rsid w:val="7DFBFF20"/>
    <w:rsid w:val="7E9E1962"/>
    <w:rsid w:val="7E9F11B4"/>
    <w:rsid w:val="7F37EC1E"/>
    <w:rsid w:val="7F7C0DDA"/>
    <w:rsid w:val="7F7DCD9D"/>
    <w:rsid w:val="7F970A6F"/>
    <w:rsid w:val="7FC1FFF3"/>
    <w:rsid w:val="7FC69637"/>
    <w:rsid w:val="7FD33D94"/>
    <w:rsid w:val="7FDF8620"/>
    <w:rsid w:val="7FFB242F"/>
    <w:rsid w:val="7FFDB408"/>
    <w:rsid w:val="7FFE4EEB"/>
    <w:rsid w:val="877986E0"/>
    <w:rsid w:val="95FB2B98"/>
    <w:rsid w:val="9A639BC2"/>
    <w:rsid w:val="9FF7D786"/>
    <w:rsid w:val="ABBFB23D"/>
    <w:rsid w:val="B6BE5A03"/>
    <w:rsid w:val="B8C93228"/>
    <w:rsid w:val="C3B4DA5A"/>
    <w:rsid w:val="C4FF458C"/>
    <w:rsid w:val="C7BBD038"/>
    <w:rsid w:val="CBFF70E0"/>
    <w:rsid w:val="CFF50B82"/>
    <w:rsid w:val="CFFFAD89"/>
    <w:rsid w:val="DBBF840B"/>
    <w:rsid w:val="DE5F0FBA"/>
    <w:rsid w:val="DEFBCB0C"/>
    <w:rsid w:val="DFFE359E"/>
    <w:rsid w:val="DFFE4FFD"/>
    <w:rsid w:val="DFFF5403"/>
    <w:rsid w:val="EBC3E00A"/>
    <w:rsid w:val="EDFBE100"/>
    <w:rsid w:val="EEABED75"/>
    <w:rsid w:val="EF7E8003"/>
    <w:rsid w:val="F56FDF51"/>
    <w:rsid w:val="F5F3EE78"/>
    <w:rsid w:val="F6B69F17"/>
    <w:rsid w:val="F6E5BB3A"/>
    <w:rsid w:val="F77F1D61"/>
    <w:rsid w:val="F7C36722"/>
    <w:rsid w:val="F7FED3A9"/>
    <w:rsid w:val="F8C9DB26"/>
    <w:rsid w:val="F97E8EAE"/>
    <w:rsid w:val="FB36E1A6"/>
    <w:rsid w:val="FB3BE134"/>
    <w:rsid w:val="FCFF4275"/>
    <w:rsid w:val="FD7FEEEA"/>
    <w:rsid w:val="FDDF92AD"/>
    <w:rsid w:val="FDFFB577"/>
    <w:rsid w:val="FEEA50FE"/>
    <w:rsid w:val="FF7AD69F"/>
    <w:rsid w:val="FF7D47A9"/>
    <w:rsid w:val="FFCF21CB"/>
    <w:rsid w:val="FFF94102"/>
    <w:rsid w:val="FFFF1C8B"/>
    <w:rsid w:val="FFFF7436"/>
    <w:rsid w:val="FFFFC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19</Pages>
  <Words>1347</Words>
  <Characters>7679</Characters>
  <Lines>63</Lines>
  <Paragraphs>18</Paragraphs>
  <TotalTime>1</TotalTime>
  <ScaleCrop>false</ScaleCrop>
  <LinksUpToDate>false</LinksUpToDate>
  <CharactersWithSpaces>9008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2020-07-12T10:32:00Z</dcterms:created>
  <dc:creator>李航 null</dc:creator>
  <cp:lastModifiedBy>xjkp</cp:lastModifiedBy>
  <cp:lastPrinted>2024-08-12T18:20:00Z</cp:lastPrinted>
  <dcterms:modified xsi:type="dcterms:W3CDTF">2026-09-10T10:03:00Z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4F50F123E7950A7FB8FFA06A1671A403_43</vt:lpwstr>
  </property>
</Properties>
</file>