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518D4">
      <w:pPr>
        <w:pStyle w:val="12"/>
        <w:jc w:val="center"/>
        <w:rPr>
          <w:sz w:val="56"/>
          <w:szCs w:val="56"/>
        </w:rPr>
      </w:pPr>
    </w:p>
    <w:p w14:paraId="53AC387A">
      <w:pPr>
        <w:pStyle w:val="12"/>
        <w:jc w:val="center"/>
        <w:rPr>
          <w:sz w:val="56"/>
          <w:szCs w:val="56"/>
        </w:rPr>
      </w:pPr>
    </w:p>
    <w:p w14:paraId="24B1047C">
      <w:pPr>
        <w:pStyle w:val="12"/>
        <w:jc w:val="center"/>
        <w:rPr>
          <w:sz w:val="84"/>
          <w:szCs w:val="84"/>
        </w:rPr>
      </w:pPr>
    </w:p>
    <w:p w14:paraId="009CFA58">
      <w:pPr>
        <w:pStyle w:val="12"/>
        <w:jc w:val="center"/>
        <w:rPr>
          <w:sz w:val="84"/>
          <w:szCs w:val="84"/>
        </w:rPr>
      </w:pPr>
    </w:p>
    <w:p w14:paraId="047097D6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度</w:t>
      </w:r>
    </w:p>
    <w:p w14:paraId="52C6F0BF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岳阳市洞庭湖大桥养护中心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</w:t>
      </w:r>
    </w:p>
    <w:p w14:paraId="64F3FBCD">
      <w:pPr>
        <w:pStyle w:val="12"/>
        <w:jc w:val="center"/>
        <w:rPr>
          <w:rFonts w:hint="eastAsia" w:ascii="方正小标宋_GBK" w:hAnsi="方正小标宋_GBK" w:eastAsia="方正小标宋_GBK" w:cs="方正小标宋_GBK"/>
          <w:sz w:val="56"/>
          <w:szCs w:val="56"/>
        </w:rPr>
      </w:pPr>
    </w:p>
    <w:p w14:paraId="06A2F10B">
      <w:pPr>
        <w:pStyle w:val="12"/>
        <w:jc w:val="center"/>
        <w:rPr>
          <w:sz w:val="56"/>
          <w:szCs w:val="56"/>
        </w:rPr>
      </w:pPr>
    </w:p>
    <w:p w14:paraId="649F4E3C">
      <w:pPr>
        <w:pStyle w:val="12"/>
        <w:jc w:val="center"/>
        <w:rPr>
          <w:sz w:val="56"/>
          <w:szCs w:val="56"/>
        </w:rPr>
      </w:pPr>
    </w:p>
    <w:p w14:paraId="32679A57">
      <w:pPr>
        <w:pStyle w:val="12"/>
        <w:jc w:val="center"/>
        <w:rPr>
          <w:sz w:val="56"/>
          <w:szCs w:val="56"/>
        </w:rPr>
      </w:pPr>
    </w:p>
    <w:p w14:paraId="2173D815">
      <w:pPr>
        <w:pStyle w:val="12"/>
        <w:jc w:val="center"/>
        <w:rPr>
          <w:sz w:val="32"/>
          <w:szCs w:val="32"/>
        </w:rPr>
      </w:pPr>
    </w:p>
    <w:p w14:paraId="1BFD5A4A">
      <w:pPr>
        <w:pStyle w:val="12"/>
        <w:jc w:val="center"/>
        <w:rPr>
          <w:sz w:val="32"/>
          <w:szCs w:val="32"/>
        </w:rPr>
      </w:pPr>
    </w:p>
    <w:p w14:paraId="7C4292AC">
      <w:pPr>
        <w:pStyle w:val="12"/>
        <w:jc w:val="center"/>
        <w:rPr>
          <w:sz w:val="32"/>
          <w:szCs w:val="32"/>
        </w:rPr>
      </w:pPr>
    </w:p>
    <w:p w14:paraId="601C5DC0">
      <w:pPr>
        <w:pStyle w:val="12"/>
        <w:spacing w:line="500" w:lineRule="exact"/>
        <w:jc w:val="both"/>
        <w:rPr>
          <w:b/>
          <w:sz w:val="36"/>
          <w:szCs w:val="28"/>
        </w:rPr>
      </w:pPr>
    </w:p>
    <w:p w14:paraId="749E21E0">
      <w:pPr>
        <w:pStyle w:val="12"/>
        <w:spacing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目录</w:t>
      </w:r>
    </w:p>
    <w:p w14:paraId="03C53A07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第一部分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val="en-US" w:eastAsia="zh-CN"/>
        </w:rPr>
        <w:t>岳阳市洞庭湖大桥养护中心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单位概况</w:t>
      </w:r>
    </w:p>
    <w:p w14:paraId="431CF72D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一、部门职责</w:t>
      </w:r>
    </w:p>
    <w:p w14:paraId="7F16BDD1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二、机构设置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及决算单位构成</w:t>
      </w:r>
    </w:p>
    <w:p w14:paraId="2AC71EBE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第二部分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部门决算表</w:t>
      </w:r>
    </w:p>
    <w:p w14:paraId="7DEE0199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一、收入支出决算总表</w:t>
      </w:r>
    </w:p>
    <w:p w14:paraId="64ED0539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二、收入决算表</w:t>
      </w:r>
    </w:p>
    <w:p w14:paraId="4F27D3F6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三、支出决算表</w:t>
      </w:r>
    </w:p>
    <w:p w14:paraId="58C6A181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四、财政拨款收入支出决算总表</w:t>
      </w:r>
    </w:p>
    <w:p w14:paraId="7C54F1B4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五、一般公共预算财政拨款支出决算表</w:t>
      </w:r>
    </w:p>
    <w:p w14:paraId="7E337F14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六、一般公共预算财政拨款基本支出决算明细表</w:t>
      </w:r>
    </w:p>
    <w:p w14:paraId="17B64EE4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七、政府性基金预算财政拨款收入支出决算表</w:t>
      </w:r>
    </w:p>
    <w:p w14:paraId="23F4EEBB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八、国有资本经营预算财政拨款支出决算表</w:t>
      </w:r>
    </w:p>
    <w:p w14:paraId="7F5F0298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九、财政拨款“三公”经费支出决算表</w:t>
      </w:r>
    </w:p>
    <w:p w14:paraId="6C84B759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第三部分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部门决算情况说明</w:t>
      </w:r>
    </w:p>
    <w:p w14:paraId="0D466208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一、收入支出决算总体情况说明</w:t>
      </w:r>
    </w:p>
    <w:p w14:paraId="3AFC5168">
      <w:pPr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二、收入决算情况说明</w:t>
      </w:r>
    </w:p>
    <w:p w14:paraId="6D34B8DB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三、支出决算情况说明</w:t>
      </w:r>
    </w:p>
    <w:p w14:paraId="04888D09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四、财政拨款收入支出决算总体情况说明</w:t>
      </w:r>
    </w:p>
    <w:p w14:paraId="19521762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五、一般公共预算财政拨款支出决算情况说明</w:t>
      </w:r>
    </w:p>
    <w:p w14:paraId="4C86471E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六、一般公共预算财政拨款基本支出决算情况说明</w:t>
      </w:r>
    </w:p>
    <w:p w14:paraId="5194F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七、政府性基金预算收入支出决算情况</w:t>
      </w:r>
    </w:p>
    <w:p w14:paraId="52896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八、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国有资本经营预算财政拨款支出决算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情况</w:t>
      </w:r>
    </w:p>
    <w:p w14:paraId="18C72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九、财政拨款三公经费支出决算情况说明</w:t>
      </w:r>
    </w:p>
    <w:p w14:paraId="1FDBD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十、关于机关运行经费支出说明</w:t>
      </w:r>
    </w:p>
    <w:p w14:paraId="011DA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十一、一般性支出情况说明</w:t>
      </w:r>
    </w:p>
    <w:p w14:paraId="0B9C8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关于政府采购支出说明</w:t>
      </w:r>
    </w:p>
    <w:p w14:paraId="5AD47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十三、关于国有资产占用情况说明</w:t>
      </w:r>
    </w:p>
    <w:p w14:paraId="7A88858F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-SA"/>
        </w:rPr>
        <w:t>十四、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关于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度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绩效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情况的说明</w:t>
      </w:r>
    </w:p>
    <w:p w14:paraId="179775D7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第四部分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名词解释</w:t>
      </w:r>
    </w:p>
    <w:p w14:paraId="1095E5A2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附件</w:t>
      </w:r>
    </w:p>
    <w:p w14:paraId="260A1765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1F0D182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17BEEE3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 xml:space="preserve">第一部分 </w:t>
      </w:r>
    </w:p>
    <w:p w14:paraId="4C780599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7724072"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岳阳市洞庭湖大桥养护中心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单位概况</w:t>
      </w:r>
    </w:p>
    <w:p w14:paraId="62F1EC46">
      <w:pPr>
        <w:pStyle w:val="2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B6B51BF">
      <w:pPr>
        <w:pStyle w:val="3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FB94A89">
      <w:pPr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6E52DDF7">
      <w:pPr>
        <w:pStyle w:val="3"/>
        <w:ind w:left="0" w:leftChars="0" w:firstLine="0" w:firstLineChars="0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CDF0880">
      <w:pPr>
        <w:pStyle w:val="13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部门职责</w:t>
      </w:r>
    </w:p>
    <w:p w14:paraId="339EB013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贯彻落实国家、省、市关于公路桥梁养护工作有关法律法规、方针政策，开展政策法规宣传；参与拟订大桥管养、安全风险防控等行业规划计划、政策及规范性文件，并协助组织实施。承担大桥日常养护、大中修、新建、改造工程的组织实施，桥区绿化美化亮化等技术支撑工作；承担桥梁养护市场监管行政辅助工作。</w:t>
      </w:r>
    </w:p>
    <w:p w14:paraId="0016C2AA">
      <w:pPr>
        <w:ind w:firstLine="800" w:firstLineChars="25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担大桥管养等行政执法、行政许可的事务性、技术性、辅助性工作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担大桥区域内安全生产、平安建设、桥面安全运行、桥梁运行安全风险防控和隐患治理等工作；承担大桥结构安全检测等技术支撑工作；承担大桥路产维护及巡察的行政辅助工作；配合执法机构对大桥路产损坏补偿进行调查取证，执行路产恢复预算与计划。</w:t>
      </w:r>
    </w:p>
    <w:p w14:paraId="6ACBBEC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00" w:firstLineChars="25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（三）承担大桥结构健康监测、数据统计及科学管养等技术支撑工作，承担大桥实时监控及“两客一危”、超限运输车辆治理等行政辅助工作。</w:t>
      </w:r>
    </w:p>
    <w:p w14:paraId="29772AA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00" w:firstLineChars="25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（四）承担大桥节假日运输、抢险救灾、反恐防暴、交通备战、处置突发事件等应急保障工作。</w:t>
      </w:r>
    </w:p>
    <w:p w14:paraId="6CBB1622">
      <w:pPr>
        <w:keepNext/>
        <w:keepLines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firstLine="800" w:firstLineChars="25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（五）完成市交通运输局交办的其他任务。</w:t>
      </w:r>
    </w:p>
    <w:p w14:paraId="521C5ABA">
      <w:pPr>
        <w:widowControl/>
        <w:spacing w:line="60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二、机构设置及决算单位构成</w:t>
      </w:r>
    </w:p>
    <w:p w14:paraId="197C7B91">
      <w:pPr>
        <w:widowControl/>
        <w:spacing w:line="600" w:lineRule="exact"/>
        <w:rPr>
          <w:rFonts w:hint="eastAsia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（一）内设机构设置。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岳阳市洞庭湖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大桥养护中心单位内设机构包括：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个内设机构及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个分支机构，其中：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个内设机构为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综合部、人事部、财务部、养护技术部、工程计划部、安全生产部、战备应急部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；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个分支机构为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路产维护站、桥梁健康监测站（市洞庭湖大桥数据中心）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。</w:t>
      </w:r>
    </w:p>
    <w:p w14:paraId="49D1B5BB">
      <w:pPr>
        <w:widowControl/>
        <w:spacing w:line="600" w:lineRule="exact"/>
        <w:rPr>
          <w:rFonts w:ascii="仿宋_GB2312" w:eastAsia="仿宋_GB2312" w:hAnsiTheme="minorEastAsia"/>
          <w:sz w:val="28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（二）决算单位构成。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岳阳市洞庭湖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大桥养护中心单位202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年部门决算汇总公开单位构成包括：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本单位无独立核算的下属单位，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2025年度部门决算汇总公开单位仅包括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岳阳市洞庭湖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大桥养护中心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单位本级。</w:t>
      </w:r>
    </w:p>
    <w:p w14:paraId="0680C65B"/>
    <w:p w14:paraId="059E83E1">
      <w:pPr>
        <w:pStyle w:val="2"/>
      </w:pPr>
    </w:p>
    <w:p w14:paraId="2722DD08">
      <w:pPr>
        <w:pStyle w:val="3"/>
      </w:pPr>
    </w:p>
    <w:p w14:paraId="70F226D4"/>
    <w:p w14:paraId="4089BE4F">
      <w:pPr>
        <w:pStyle w:val="2"/>
      </w:pPr>
    </w:p>
    <w:p w14:paraId="416CD1EB">
      <w:pPr>
        <w:pStyle w:val="3"/>
      </w:pPr>
    </w:p>
    <w:p w14:paraId="5312D054"/>
    <w:p w14:paraId="3B47D371">
      <w:pPr>
        <w:pStyle w:val="12"/>
        <w:jc w:val="both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1D60CD6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2555491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 w14:paraId="73E756D3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BB6C4C0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 w14:paraId="0456ABC2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  <w:t>（见附件）</w:t>
      </w:r>
    </w:p>
    <w:p w14:paraId="6791B485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3D354DB7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5B7ED1BA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3DD9F474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176ACC3A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7D10BA9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6406DAA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07A718D5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5F8C809E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29548519">
      <w:pPr>
        <w:pStyle w:val="12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47FA0515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第三部分</w:t>
      </w:r>
    </w:p>
    <w:p w14:paraId="2C1A74E7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A1ADE9A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70"/>
          <w:szCs w:val="70"/>
        </w:rPr>
        <w:t>度部门决算情况说明</w:t>
      </w:r>
    </w:p>
    <w:p w14:paraId="3084670C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590A677A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A7FCE18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5FB46D56">
      <w:pPr>
        <w:pStyle w:val="12"/>
        <w:jc w:val="both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2D9F1457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决算编制时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至“金额单位：元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本套部门决算文字说明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和公开表格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取数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转换为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金额单位：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万元”，可能导致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以下文字说明中的各项数据取数以及公开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中的各项数据取数之间存在</w:t>
      </w:r>
      <w:r>
        <w:rPr>
          <w:rFonts w:hint="eastAsia" w:ascii="仿宋_GB2312" w:hAnsi="仿宋_GB2312" w:eastAsia="仿宋_GB2312" w:cs="仿宋_GB2312"/>
          <w:sz w:val="32"/>
          <w:szCs w:val="32"/>
        </w:rPr>
        <w:t>0.01的尾数差异。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2、以下文字说明中，部分科目由于预算数为0，无法计算完成年初预算的百分比，故未描述“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完成年初预算的XX%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56F016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一、收入支出决算总体情况说明</w:t>
      </w:r>
    </w:p>
    <w:p w14:paraId="5EF2155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度收、支总计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1918.59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万元。与上年相比，减少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2029.3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51.40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%，主要是因为因为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洞庭湖大桥维修加固工程支付项目款减少。</w:t>
      </w:r>
    </w:p>
    <w:p w14:paraId="303F43E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二、收入决算情况说明</w:t>
      </w:r>
    </w:p>
    <w:p w14:paraId="399133E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度收入合计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1918.59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万元，其中：财政拨款收入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1659.09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86.47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%；上级补助收入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%；事业收入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%；附属单位上缴收入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%；其他收入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259.5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13.53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63EA698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三、支出决算情况说明</w:t>
      </w:r>
    </w:p>
    <w:p w14:paraId="1C7584C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度支出合计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1918.59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1675.59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87.33</w:t>
      </w:r>
      <w:r>
        <w:rPr>
          <w:rFonts w:hint="eastAsia" w:ascii="仿宋_GB2312" w:hAnsi="仿宋_GB2312" w:eastAsia="仿宋_GB2312" w:cs="仿宋_GB2312"/>
          <w:sz w:val="32"/>
          <w:szCs w:val="32"/>
        </w:rPr>
        <w:t>%；项目支出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12.67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110F127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四、财政拨款收入支出决算总体情况说明</w:t>
      </w:r>
    </w:p>
    <w:p w14:paraId="548061F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度财政拨款收、支总计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1659.09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万元，与上年相比，减少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2247.20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57.53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洞庭湖大桥维修加固工程支付项目款减少。</w:t>
      </w:r>
    </w:p>
    <w:p w14:paraId="325959F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五、一般公共预算财政拨款支出决算情况说明</w:t>
      </w:r>
    </w:p>
    <w:p w14:paraId="1F84CB3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（一）一般公共预算财政拨款支出决算总体情况</w:t>
      </w:r>
    </w:p>
    <w:p w14:paraId="4CD2C19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1659.09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86.47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%，与上年相比，财政拨款支出减少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2247.20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57.53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洞庭湖大桥维修加固工程支付项目款减少。</w:t>
      </w:r>
    </w:p>
    <w:p w14:paraId="64AE182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（二）一般公共预算财政拨款支出决算结构情况</w:t>
      </w:r>
    </w:p>
    <w:p w14:paraId="2E2B220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1659.09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万元，主要用于以下方面：</w:t>
      </w:r>
      <w:r>
        <w:rPr>
          <w:rFonts w:hint="eastAsia" w:ascii="Times New Roman" w:hAnsi="Times New Roman" w:eastAsia="仿宋_GB2312"/>
          <w:sz w:val="32"/>
          <w:szCs w:val="32"/>
        </w:rPr>
        <w:t>社会保障和就业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支出280.26万元，占16.89%；卫生健康（类）支出74.29万元，占4.48%；交通运输（类）支出1183.59万元，占71.34%；住房保障（类）支出67.94万元，占4.10%；灾害防治及应急管理（类）支出53.01万元，占3.19%。</w:t>
      </w:r>
    </w:p>
    <w:p w14:paraId="38943C4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（三）一般公共预算财政拨款支出决算具体情况</w:t>
      </w:r>
    </w:p>
    <w:p w14:paraId="2151540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度财政拨款支出年初预算数为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1408.06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1659.09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117.83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</w:t>
      </w:r>
    </w:p>
    <w:p w14:paraId="0628DB8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1、社会保障和就业支出（类）行政事业单位养老支出（款）机关事业单位基本养老保险缴费支出（项）。</w:t>
      </w:r>
    </w:p>
    <w:p w14:paraId="4A7F38F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106.07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105.06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99.05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小</w:t>
      </w:r>
      <w:r>
        <w:rPr>
          <w:rFonts w:hint="eastAsia" w:ascii="仿宋_GB2312" w:hAnsi="仿宋_GB2312" w:eastAsia="仿宋_GB2312" w:cs="仿宋_GB2312"/>
          <w:sz w:val="32"/>
          <w:szCs w:val="32"/>
        </w:rPr>
        <w:t>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单位退休人员增加。</w:t>
      </w:r>
    </w:p>
    <w:p w14:paraId="4451F90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2、社会保障和就业支出（类）行政事业单位养老支出（款）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事业单位离退休（项）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945532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155.86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99.91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小</w:t>
      </w:r>
      <w:r>
        <w:rPr>
          <w:rFonts w:hint="eastAsia" w:ascii="仿宋_GB2312" w:hAnsi="仿宋_GB2312" w:eastAsia="仿宋_GB2312" w:cs="仿宋_GB2312"/>
          <w:sz w:val="32"/>
          <w:szCs w:val="32"/>
        </w:rPr>
        <w:t>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单位退休人员去世。</w:t>
      </w:r>
    </w:p>
    <w:p w14:paraId="0A18323A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社会保障和就业支出（类）就业补助（款）就业见习补贴（项）</w:t>
      </w:r>
    </w:p>
    <w:p w14:paraId="2C721A77">
      <w:pPr>
        <w:pStyle w:val="1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bidi w:val="0"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年初预算为0万元，支出决算为1.60万元，决算数大于年初预算数的主要原因是：存在就业见习人员，进行了基数调整。</w:t>
      </w:r>
    </w:p>
    <w:p w14:paraId="5A15CD8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4、社会保障和就业支出（类）抚恤（款）其他优抚支出（项）</w:t>
      </w:r>
    </w:p>
    <w:p w14:paraId="4BF9C03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年初预算为0万元，支出决算为15.38万元，决算数大于年初预算数的主要原因是：存在优抚支出，进行了基数调整。</w:t>
      </w:r>
    </w:p>
    <w:p w14:paraId="166AAEC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5、社会保障和就业支出（类）其他社会保障和就业支出（款）其他社会保障和就业支出（项）</w:t>
      </w:r>
    </w:p>
    <w:p w14:paraId="5F047E3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年初预算为1.95万元，支出决算为2.36万元，完成年初预算的121.03%，决算数大于年初预算数的主要原因是：职工去世基数调整。</w:t>
      </w:r>
    </w:p>
    <w:p w14:paraId="07ED338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6、卫生健康支出（类）行政事业单位医疗（款）事业单位医疗（项）</w:t>
      </w:r>
    </w:p>
    <w:p w14:paraId="0DC83FE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年初预算为74.29万元，支出决算为74.29万元，完成年初预算的100%，决算数等于年初预算数的主要原因是：严格按预算执行支付。</w:t>
      </w:r>
    </w:p>
    <w:p w14:paraId="0425AF4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7、交通运输支出（类）公路水路运输（款）行政运行（项）</w:t>
      </w:r>
    </w:p>
    <w:p w14:paraId="3EF8640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年初预算为814.21万元，支出决算为964.76万元，完成年初预算的118.49%，决算数大于年初预算数的主要原因是：个别基数调整。</w:t>
      </w:r>
    </w:p>
    <w:p w14:paraId="4699D1C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8、交通运输支出（类）公路水路运输（款）公路养护（项）</w:t>
      </w:r>
    </w:p>
    <w:p w14:paraId="2F37A9D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年初预算为0万元，支出决算为13.95万元，决算数大于年初预算数的主要原因是：交通专项追加预算。</w:t>
      </w:r>
    </w:p>
    <w:p w14:paraId="4CFD313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9、交通运输支出（类）公路水路运输（款）其他公路水路运输支出（项）</w:t>
      </w:r>
    </w:p>
    <w:p w14:paraId="1850EE3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年初预算为0万元，支出决算为2267.26万元，决算数大于年初预算数的主要原因是：洞庭湖大桥维修加固工程追加预算。</w:t>
      </w:r>
    </w:p>
    <w:p w14:paraId="66345D9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10、交通运输支出（类）其他交通运输支出（款）其他交通运输支出（项）</w:t>
      </w:r>
    </w:p>
    <w:p w14:paraId="1943F9A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年初预算为179.15万元，支出决算为204.88万元，完成年初预算的114.36%，决算数大于年初预算数的主要原因是：日常维修及桥梁伸缩缝维修工程等项目的增加。</w:t>
      </w:r>
    </w:p>
    <w:p w14:paraId="5D5505F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11、住房保障支出（类）住房改革支出（款）住房公积金（项）</w:t>
      </w:r>
    </w:p>
    <w:p w14:paraId="2E35080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年初预算为76.39万元，支出决算为67.94万元，完成年初预算的88.94%，决算数小于年初预算数的主要原因是：单位8名职工转出。</w:t>
      </w:r>
    </w:p>
    <w:p w14:paraId="5EBA777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12、灾害防治及应急管理支出（类）自然灾害救灾及恢复重建支出（款）  自然灾害救灾补助（项）</w:t>
      </w:r>
    </w:p>
    <w:p w14:paraId="3D912A3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年初预算为0万元，支出决算为53.01万元，决算数大于年初预算数的主要原因是：抗冰保畅追加预算。</w:t>
      </w:r>
    </w:p>
    <w:p w14:paraId="11C7EF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六、一般公共预算财政拨款基本支出决算情况说明</w:t>
      </w:r>
    </w:p>
    <w:p w14:paraId="686E6D2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1416.09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</w:p>
    <w:p w14:paraId="74BCB76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1302.61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91.98</w:t>
      </w:r>
      <w:r>
        <w:rPr>
          <w:rFonts w:hint="eastAsia" w:ascii="仿宋_GB2312" w:hAnsi="仿宋_GB2312" w:eastAsia="仿宋_GB2312" w:cs="仿宋_GB2312"/>
          <w:sz w:val="32"/>
          <w:szCs w:val="32"/>
        </w:rPr>
        <w:t>%,主要包括基本工资、津贴补贴、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奖金、伙食补助费、绩效工资、机关事业单位基本养老保险缴费、职业年金缴费、职工基本医疗保险缴费、其他社会保障缴费、住房公积金、医疗费、其他工资福利支出、退休费、抚恤金、生活补助、医疗费补助、奖励金、其他对个人和家庭的补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B75C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公用经费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113.48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8.02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%，主要包括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办公费、印刷费、水费、电费、邮电费、物业管理费、差旅费、维修（护）费、培训费、专用燃料费、委托业务费、工会经费、福利费、其他交通费用、其他商品和服务支出、专用设备购置。</w:t>
      </w:r>
    </w:p>
    <w:p w14:paraId="6077480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七、政府性基金预算收入支出决算情况</w:t>
      </w:r>
    </w:p>
    <w:p w14:paraId="3789C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2025年度政府性基金预算财政拨款收入0万元；年初结转和结余0万元；支出0万元，其中基本支出0万元，项目支出0万元；年末结转和结余0万元。</w:t>
      </w:r>
    </w:p>
    <w:p w14:paraId="32B46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  <w:t>八、国有资本经营预算财政拨款支出决算情况</w:t>
      </w:r>
    </w:p>
    <w:p w14:paraId="5007AC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2025年度国有资本经营预算财政拨款收入0万元；年初结转和结余0万；支出0万元，其中：基本支出0万元，项目支出0万元；年末结转和结余0万元。</w:t>
      </w:r>
    </w:p>
    <w:p w14:paraId="62B9204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sz w:val="32"/>
          <w:szCs w:val="32"/>
          <w:lang w:eastAsia="zh-CN"/>
        </w:rPr>
        <w:t>九、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财政拨款三公经费支出决算情况说明</w:t>
      </w:r>
    </w:p>
    <w:p w14:paraId="481D8C1A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经费财政拨款支出决算总体情况说明</w:t>
      </w:r>
    </w:p>
    <w:p w14:paraId="57221752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15.2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1.95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单位车辆为特种作业车，列入了其他交通费用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上年做账时租车费计入了</w:t>
      </w:r>
      <w:r>
        <w:rPr>
          <w:rFonts w:ascii="Times New Roman" w:hAnsi="Times New Roman" w:eastAsia="仿宋_GB2312" w:cs="Times New Roman"/>
          <w:sz w:val="32"/>
          <w:szCs w:val="32"/>
        </w:rPr>
        <w:t>公务用车运行维护费。</w:t>
      </w:r>
    </w:p>
    <w:p w14:paraId="495F5E66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经费财政拨款支出决算具体情况说明</w:t>
      </w:r>
    </w:p>
    <w:p w14:paraId="263BF320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因公出国（境）费支出预算为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决算数等于预算数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与上年一致，无增减变动，主要原因是未安排因公出国（境）活动。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年度安排因公出国（境）团组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6AC846B2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1.95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 w14:paraId="37AA4F05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决算数等于预算数，主要原因是我单位严格按预算执行决算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与上年一致，无增减变动，主要原因是两年均未购置公务用车。岳阳市洞庭湖大桥养护中心</w:t>
      </w:r>
      <w:r>
        <w:rPr>
          <w:rFonts w:ascii="Times New Roman" w:hAnsi="Times New Roman" w:eastAsia="仿宋_GB2312" w:cs="Times New Roman"/>
          <w:sz w:val="32"/>
          <w:szCs w:val="32"/>
        </w:rPr>
        <w:t>更新公务用车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辆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16E2CE0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FF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1.95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单位车辆为特种作业车，列入了其他交通费用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上年做账时租车费计入了</w:t>
      </w:r>
      <w:r>
        <w:rPr>
          <w:rFonts w:ascii="Times New Roman" w:hAnsi="Times New Roman" w:eastAsia="仿宋_GB2312" w:cs="Times New Roman"/>
          <w:sz w:val="32"/>
          <w:szCs w:val="32"/>
        </w:rPr>
        <w:t>公务用车运行维护费。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 w14:paraId="3CCA79BB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公务接待费支出预算为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0.2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</w:t>
      </w:r>
      <w:r>
        <w:rPr>
          <w:rFonts w:ascii="Times New Roman" w:hAnsi="Times New Roman" w:eastAsia="仿宋_GB2312" w:cs="Times New Roman"/>
          <w:sz w:val="32"/>
          <w:szCs w:val="32"/>
        </w:rPr>
        <w:t>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决算数小于预算数，主要原因是严格执行中央八项规定；与上年一致，无增减变动，主要原因是按有关政策厉行节约，严控公务接待支出。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年度共接待来访团组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2BC0A0F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</w:rPr>
        <w:t>、关于机关运行经费支出说明</w:t>
      </w:r>
    </w:p>
    <w:p w14:paraId="4D40F4CB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本级和所属单位均为事业单位，按照机关运行经费的口径，本年度机关运行经费为0。</w:t>
      </w:r>
    </w:p>
    <w:p w14:paraId="76CA3C9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、一般性支出情况说明</w:t>
      </w:r>
    </w:p>
    <w:p w14:paraId="08D1AF3B">
      <w:pPr>
        <w:pStyle w:val="1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年度，</w:t>
      </w:r>
      <w:r>
        <w:rPr>
          <w:rFonts w:hint="eastAsia" w:ascii="Times New Roman" w:hAnsi="Times New Roman" w:eastAsia="仿宋_GB2312"/>
          <w:sz w:val="32"/>
          <w:szCs w:val="32"/>
        </w:rPr>
        <w:t>本单位无会议费的预算和支出决算数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DE08F9B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培训费年初预算4.63万元，支出决算为2.10万元，完成年初预算的45.36%。</w:t>
      </w:r>
      <w:r>
        <w:rPr>
          <w:rFonts w:hint="eastAsia" w:ascii="Times New Roman" w:hAnsi="Times New Roman" w:eastAsia="仿宋_GB2312"/>
          <w:sz w:val="32"/>
          <w:szCs w:val="32"/>
        </w:rPr>
        <w:t>用于开展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党员教育</w:t>
      </w:r>
      <w:r>
        <w:rPr>
          <w:rFonts w:hint="eastAsia" w:ascii="Times New Roman" w:hAnsi="Times New Roman" w:eastAsia="仿宋_GB2312"/>
          <w:sz w:val="32"/>
          <w:szCs w:val="32"/>
        </w:rPr>
        <w:t>培训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1次</w:t>
      </w:r>
      <w:r>
        <w:rPr>
          <w:rFonts w:hint="eastAsia" w:ascii="Times New Roman" w:hAnsi="Times New Roman" w:eastAsia="仿宋_GB2312"/>
          <w:sz w:val="32"/>
          <w:szCs w:val="32"/>
        </w:rPr>
        <w:t>，人数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48</w:t>
      </w:r>
      <w:r>
        <w:rPr>
          <w:rFonts w:hint="eastAsia" w:ascii="Times New Roman" w:hAnsi="Times New Roman" w:eastAsia="仿宋_GB2312"/>
          <w:sz w:val="32"/>
          <w:szCs w:val="32"/>
        </w:rPr>
        <w:t>人，内容为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参观红色教育基地，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用于安全教育培训1次，人数54人，内容为消防应急演练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。</w:t>
      </w:r>
    </w:p>
    <w:p w14:paraId="643D6D71"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本单位无举办节庆、晚会、论坛、赛事等活动的预算和支出决算数。</w:t>
      </w:r>
    </w:p>
    <w:p w14:paraId="351F35B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、关于政府采购支出说明</w:t>
      </w:r>
    </w:p>
    <w:p w14:paraId="033E688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度政府采购支出总额</w:t>
      </w:r>
      <w:r>
        <w:rPr>
          <w:rFonts w:hint="eastAsia" w:ascii="宋体" w:hAnsi="宋体"/>
          <w:sz w:val="32"/>
          <w:szCs w:val="24"/>
          <w:lang w:val="en-US" w:eastAsia="zh-CN"/>
        </w:rPr>
        <w:t>246.252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万元，其中：政府采购货物支出</w:t>
      </w:r>
      <w:r>
        <w:rPr>
          <w:rFonts w:hint="eastAsia" w:ascii="宋体" w:hAnsi="宋体"/>
          <w:sz w:val="32"/>
          <w:szCs w:val="24"/>
          <w:lang w:val="en-US" w:eastAsia="zh-CN"/>
        </w:rPr>
        <w:t>9.43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万元、政府采购工程支出</w:t>
      </w:r>
      <w:r>
        <w:rPr>
          <w:rFonts w:hint="eastAsia" w:ascii="宋体" w:hAnsi="宋体"/>
          <w:sz w:val="32"/>
          <w:szCs w:val="24"/>
          <w:lang w:val="en-US" w:eastAsia="zh-CN"/>
        </w:rPr>
        <w:t>28.4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万元、政府采购服务支出</w:t>
      </w:r>
      <w:r>
        <w:rPr>
          <w:rFonts w:hint="eastAsia" w:ascii="宋体" w:hAnsi="宋体"/>
          <w:sz w:val="32"/>
          <w:szCs w:val="24"/>
          <w:lang w:val="en-US" w:eastAsia="zh-CN"/>
        </w:rPr>
        <w:t>208.422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万元。授予中小企业合同金额</w:t>
      </w:r>
      <w:r>
        <w:rPr>
          <w:rFonts w:hint="eastAsia" w:ascii="宋体" w:hAnsi="宋体"/>
          <w:sz w:val="32"/>
          <w:szCs w:val="24"/>
          <w:lang w:val="en-US" w:eastAsia="zh-CN"/>
        </w:rPr>
        <w:t>246.252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%，其中：授予小微企业合同金额</w:t>
      </w:r>
      <w:r>
        <w:rPr>
          <w:rFonts w:hint="eastAsia" w:ascii="宋体" w:hAnsi="宋体"/>
          <w:sz w:val="32"/>
          <w:szCs w:val="24"/>
          <w:lang w:val="en-US" w:eastAsia="zh-CN"/>
        </w:rPr>
        <w:t>246.252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授予中小企业合同金额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%。货物采购授予中小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企业合同金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额占货物支出金额的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%，工程采购授予中小企业合同金额占工程支出金额的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%，服务采购授予中小企业合同金额占服务支出金额的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</w:p>
    <w:p w14:paraId="0C1427D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、关于国有资产占用情况说明</w:t>
      </w:r>
    </w:p>
    <w:p w14:paraId="1E4F473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12月31日，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部门（单位）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共有车辆XX辆，其中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，副部（省）级及以上领导用车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机要通信用车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辆、应急保障用车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辆、执法执勤用车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辆、特种专业技术用车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离退休干部服务用车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辆、其他用车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辆；单位价值100万元以上设备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（不含车辆）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台（套）。</w:t>
      </w:r>
    </w:p>
    <w:p w14:paraId="1428F5F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度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绩效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管理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情况的说明</w:t>
      </w:r>
    </w:p>
    <w:p w14:paraId="063E2683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</w:t>
      </w:r>
    </w:p>
    <w:p w14:paraId="3C30E4FB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绩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248.44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234.46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14.13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由于政府性基金预算项目支出总额为0，故无法计算占政府性基金预算项目支出总额的比重）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由于国有资本经营预算项目支出总额为0，故无法计算占国有资本经营预算项目支出总额的比重）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；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由于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支出总额为0，故无法计算占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支出总额的比重）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。</w:t>
      </w:r>
    </w:p>
    <w:p w14:paraId="63259892">
      <w:pPr>
        <w:numPr>
          <w:numId w:val="0"/>
        </w:num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部门评价开展情况。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本单位为二级预算单位，部门评价开展情况可详见上级部门决算公开说明。</w:t>
      </w:r>
    </w:p>
    <w:p w14:paraId="0A861754">
      <w:pPr>
        <w:numPr>
          <w:numId w:val="0"/>
        </w:numPr>
        <w:overflowPunct w:val="0"/>
        <w:spacing w:line="600" w:lineRule="exact"/>
        <w:ind w:firstLine="640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事前绩效评估开展情况。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本单位为二级预算单位，事前绩效评估开展情况可详见上级部门决算公开说明。</w:t>
      </w:r>
    </w:p>
    <w:p w14:paraId="0DCF3133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</w:t>
      </w:r>
    </w:p>
    <w:p w14:paraId="65753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2337.08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1918.59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82.09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98.21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优秀</w:t>
      </w:r>
      <w:r>
        <w:rPr>
          <w:rFonts w:ascii="Times New Roman" w:hAnsi="Times New Roman" w:eastAsia="仿宋_GB2312" w:cs="Times New Roman"/>
          <w:sz w:val="32"/>
          <w:szCs w:val="32"/>
        </w:rPr>
        <w:t>”。绩效目标完成情况：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</w:t>
      </w:r>
      <w:r>
        <w:rPr>
          <w:rFonts w:hint="eastAsia" w:ascii="仿宋_GB2312" w:eastAsia="仿宋_GB2312"/>
          <w:sz w:val="32"/>
          <w:szCs w:val="32"/>
        </w:rPr>
        <w:t>按时发放工资，又防止突破规范，同时严格控制非生产性开支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；二是</w:t>
      </w:r>
      <w:r>
        <w:rPr>
          <w:rFonts w:hint="eastAsia" w:ascii="仿宋_GB2312" w:eastAsia="仿宋_GB2312"/>
          <w:sz w:val="32"/>
          <w:szCs w:val="32"/>
        </w:rPr>
        <w:t>我们严格预算管理，从严控制计划，强化了预算执行跟踪监控。</w:t>
      </w:r>
      <w:r>
        <w:rPr>
          <w:rFonts w:ascii="Times New Roman" w:hAnsi="Times New Roman" w:eastAsia="仿宋_GB2312" w:cs="Times New Roman"/>
          <w:sz w:val="32"/>
          <w:szCs w:val="32"/>
        </w:rPr>
        <w:t>发现的主要问题及原因：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</w:t>
      </w:r>
      <w:r>
        <w:rPr>
          <w:rFonts w:hint="eastAsia" w:ascii="仿宋_GB2312" w:eastAsia="仿宋_GB2312"/>
          <w:sz w:val="32"/>
          <w:szCs w:val="32"/>
          <w:lang w:eastAsia="zh-CN"/>
        </w:rPr>
        <w:t>桥梁</w:t>
      </w:r>
      <w:r>
        <w:rPr>
          <w:rFonts w:hint="eastAsia" w:ascii="仿宋_GB2312" w:eastAsia="仿宋_GB2312"/>
          <w:sz w:val="32"/>
          <w:szCs w:val="32"/>
        </w:rPr>
        <w:t>养护工作没有</w:t>
      </w:r>
      <w:r>
        <w:rPr>
          <w:rFonts w:hint="eastAsia" w:ascii="仿宋_GB2312" w:eastAsia="仿宋_GB2312"/>
          <w:sz w:val="32"/>
          <w:szCs w:val="32"/>
          <w:lang w:eastAsia="zh-CN"/>
        </w:rPr>
        <w:t>足额</w:t>
      </w:r>
      <w:r>
        <w:rPr>
          <w:rFonts w:hint="eastAsia" w:ascii="仿宋_GB2312" w:eastAsia="仿宋_GB2312"/>
          <w:sz w:val="32"/>
          <w:szCs w:val="32"/>
        </w:rPr>
        <w:t>预算安排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；二是</w:t>
      </w:r>
      <w:r>
        <w:rPr>
          <w:rFonts w:hint="eastAsia" w:ascii="仿宋_GB2312" w:eastAsia="仿宋_GB2312"/>
          <w:sz w:val="32"/>
          <w:szCs w:val="32"/>
          <w:lang w:eastAsia="zh-CN"/>
        </w:rPr>
        <w:t>车辆使用经费明显不足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下一步改进措施：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</w:t>
      </w:r>
      <w:r>
        <w:rPr>
          <w:rFonts w:hint="eastAsia" w:ascii="仿宋_GB2312" w:eastAsia="仿宋_GB2312"/>
          <w:sz w:val="32"/>
          <w:szCs w:val="32"/>
          <w:lang w:eastAsia="zh-CN"/>
        </w:rPr>
        <w:t>增加桥梁养护资金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；二是</w:t>
      </w:r>
      <w:r>
        <w:rPr>
          <w:rFonts w:hint="eastAsia" w:ascii="仿宋_GB2312" w:eastAsia="仿宋_GB2312"/>
          <w:sz w:val="32"/>
          <w:szCs w:val="32"/>
          <w:lang w:eastAsia="zh-CN"/>
        </w:rPr>
        <w:t>建议增加特种车辆使用经费。</w:t>
      </w:r>
    </w:p>
    <w:p w14:paraId="2B090D70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部门评价结果。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本单位为二级预算单位，部门评价结果可详见上级部门决算公开说明。</w:t>
      </w:r>
    </w:p>
    <w:p w14:paraId="656BF67D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事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前绩效评估结果。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本单位为二级预算单位，事前绩效评估结果可详见上级部门决算公开说明。</w:t>
      </w:r>
    </w:p>
    <w:p w14:paraId="06902587">
      <w:pPr>
        <w:numPr>
          <w:ilvl w:val="0"/>
          <w:numId w:val="3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  <w:t>评价结果应用情况</w:t>
      </w:r>
    </w:p>
    <w:p w14:paraId="68E7C5DE">
      <w:pPr>
        <w:numPr>
          <w:ilvl w:val="0"/>
          <w:numId w:val="0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绩效目标和指标根据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项目的实际完成情况制定，对项目执行过程有效约束，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绩效考评指标的设计得到改进，绩效指标体系得到完善。</w:t>
      </w:r>
    </w:p>
    <w:p w14:paraId="4A4F8D0B"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预算绩效管理开展情况、绩效目标和绩效评价报告等，已在市政府部门财政预决算公开平台上向社会公开，详见附件。</w:t>
      </w:r>
    </w:p>
    <w:p w14:paraId="52C5CB7A">
      <w:pPr>
        <w:pStyle w:val="2"/>
        <w:rPr>
          <w:rFonts w:hint="eastAsia"/>
          <w:lang w:val="en-US" w:eastAsia="zh-CN"/>
        </w:rPr>
      </w:pPr>
    </w:p>
    <w:p w14:paraId="01BA90D1"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楷体" w:hAnsi="楷体" w:eastAsia="楷体" w:cs="楷体"/>
          <w:b/>
          <w:bCs/>
          <w:i w:val="0"/>
          <w:iCs w:val="0"/>
          <w:color w:val="FF0000"/>
          <w:kern w:val="0"/>
          <w:sz w:val="36"/>
          <w:szCs w:val="36"/>
          <w:lang w:val="en-US" w:eastAsia="zh-CN"/>
        </w:rPr>
      </w:pPr>
    </w:p>
    <w:p w14:paraId="0703057C">
      <w:pPr>
        <w:pStyle w:val="12"/>
        <w:jc w:val="both"/>
        <w:rPr>
          <w:rFonts w:hint="eastAsia" w:ascii="方正小标宋_GBK" w:hAnsi="方正小标宋_GBK" w:eastAsia="方正小标宋_GBK" w:cs="方正小标宋_GBK"/>
          <w:sz w:val="24"/>
          <w:szCs w:val="24"/>
        </w:rPr>
      </w:pPr>
    </w:p>
    <w:p w14:paraId="6AFA7E6E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6DCBF180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4193F5A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24DB0CD1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AD2EF06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第四部分</w:t>
      </w:r>
    </w:p>
    <w:p w14:paraId="115B912E"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</w:pPr>
    </w:p>
    <w:p w14:paraId="50272CB4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  <w:t>名词解释</w:t>
      </w:r>
    </w:p>
    <w:p w14:paraId="3704D894">
      <w:pPr>
        <w:pStyle w:val="2"/>
      </w:pPr>
    </w:p>
    <w:p w14:paraId="0F1ECC2E">
      <w:pPr>
        <w:pStyle w:val="3"/>
      </w:pPr>
    </w:p>
    <w:p w14:paraId="3F02AA3B"/>
    <w:p w14:paraId="48913AF0">
      <w:pPr>
        <w:pStyle w:val="2"/>
      </w:pPr>
    </w:p>
    <w:p w14:paraId="02DB59CC">
      <w:pPr>
        <w:pStyle w:val="3"/>
      </w:pPr>
    </w:p>
    <w:p w14:paraId="6A385E6A"/>
    <w:p w14:paraId="6C5590F7">
      <w:pPr>
        <w:pStyle w:val="2"/>
      </w:pPr>
    </w:p>
    <w:p w14:paraId="29F3A832">
      <w:pPr>
        <w:pStyle w:val="3"/>
      </w:pPr>
    </w:p>
    <w:p w14:paraId="73A923B0"/>
    <w:p w14:paraId="43A43D86">
      <w:pPr>
        <w:pStyle w:val="2"/>
      </w:pPr>
    </w:p>
    <w:p w14:paraId="1EA8A29B">
      <w:pPr>
        <w:pStyle w:val="3"/>
      </w:pPr>
    </w:p>
    <w:p w14:paraId="11A2DE90"/>
    <w:p w14:paraId="31075DAF">
      <w:pPr>
        <w:pStyle w:val="2"/>
      </w:pPr>
    </w:p>
    <w:p w14:paraId="33B43E05">
      <w:pPr>
        <w:pStyle w:val="3"/>
      </w:pPr>
    </w:p>
    <w:p w14:paraId="1F5EDF87"/>
    <w:p w14:paraId="672E5257">
      <w:pPr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4A8F501A">
      <w:pPr>
        <w:pStyle w:val="2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60FCA497">
      <w:pPr>
        <w:pStyle w:val="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479929FE"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767B7348">
      <w:pPr>
        <w:pStyle w:val="2"/>
        <w:rPr>
          <w:rFonts w:hint="eastAsia"/>
        </w:rPr>
      </w:pPr>
      <w:bookmarkStart w:id="0" w:name="_GoBack"/>
      <w:bookmarkEnd w:id="0"/>
    </w:p>
    <w:p w14:paraId="5FBCD034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0BF9033C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二、机关运行经费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，指为保障行政单位（包括参照公务员法管理的事业单位）运行用于购买货物和服务的各项资金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，包括办公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费、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印刷费、邮电费、差旅费、会议费、日常维修费、专用材料及一般设备购置费、办公用房水电费、办公用房取暖费、办公用房物业管理费、公务用车运行维护费以及其他费用。</w:t>
      </w:r>
    </w:p>
    <w:p w14:paraId="3B0A552E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……</w:t>
      </w:r>
    </w:p>
    <w:p w14:paraId="5C8AC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lang w:val="en-US" w:eastAsia="zh-CN" w:bidi="ar-SA"/>
        </w:rPr>
      </w:pPr>
    </w:p>
    <w:p w14:paraId="5EF1E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lang w:val="en-US" w:eastAsia="zh-CN" w:bidi="ar-SA"/>
        </w:rPr>
        <w:t>（名词解释应包含本部门专有名词，如省财政厅应有对“财政事务”科目的解释，可参考中央相关部门的名词解释）</w:t>
      </w:r>
    </w:p>
    <w:p w14:paraId="456105C5">
      <w:pPr>
        <w:pStyle w:val="12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8A30B65">
      <w:pPr>
        <w:pStyle w:val="3"/>
      </w:pPr>
    </w:p>
    <w:p w14:paraId="5FF0B96B"/>
    <w:p w14:paraId="56043D7E">
      <w:pPr>
        <w:pStyle w:val="2"/>
      </w:pPr>
    </w:p>
    <w:p w14:paraId="4D2004B0">
      <w:pPr>
        <w:pStyle w:val="3"/>
      </w:pPr>
    </w:p>
    <w:p w14:paraId="271675E4"/>
    <w:p w14:paraId="38876400">
      <w:pPr>
        <w:pStyle w:val="2"/>
      </w:pPr>
    </w:p>
    <w:p w14:paraId="4B0CCE42">
      <w:pPr>
        <w:pStyle w:val="3"/>
      </w:pPr>
    </w:p>
    <w:p w14:paraId="50A68D7A"/>
    <w:p w14:paraId="620DB94C">
      <w:pPr>
        <w:pStyle w:val="2"/>
      </w:pPr>
    </w:p>
    <w:p w14:paraId="0A966596">
      <w:pPr>
        <w:pStyle w:val="3"/>
      </w:pPr>
    </w:p>
    <w:p w14:paraId="55F4EA68"/>
    <w:p w14:paraId="0F9A39BB">
      <w:pPr>
        <w:pStyle w:val="2"/>
      </w:pPr>
    </w:p>
    <w:p w14:paraId="3C6CD368">
      <w:pPr>
        <w:pStyle w:val="3"/>
      </w:pPr>
    </w:p>
    <w:p w14:paraId="3B909665"/>
    <w:p w14:paraId="4195098A">
      <w:pPr>
        <w:pStyle w:val="2"/>
      </w:pPr>
    </w:p>
    <w:p w14:paraId="025AF5F0">
      <w:pPr>
        <w:pStyle w:val="3"/>
      </w:pPr>
    </w:p>
    <w:p w14:paraId="03942ECD"/>
    <w:p w14:paraId="34D0E0B2">
      <w:pPr>
        <w:pStyle w:val="2"/>
      </w:pPr>
    </w:p>
    <w:p w14:paraId="0BFBCE73">
      <w:pPr>
        <w:pStyle w:val="3"/>
      </w:pPr>
    </w:p>
    <w:p w14:paraId="71854273"/>
    <w:p w14:paraId="089F052E"/>
    <w:p w14:paraId="39C24857">
      <w:pPr>
        <w:pStyle w:val="2"/>
      </w:pPr>
    </w:p>
    <w:p w14:paraId="344ED668">
      <w:pPr>
        <w:pStyle w:val="12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318ABD1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部分</w:t>
      </w:r>
    </w:p>
    <w:p w14:paraId="4DCE5CA5">
      <w:pPr>
        <w:pStyle w:val="12"/>
        <w:jc w:val="both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</w:p>
    <w:p w14:paraId="23707E3B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附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件</w:t>
      </w:r>
    </w:p>
    <w:p w14:paraId="5F9231B1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</w:p>
    <w:p w14:paraId="4060D3AA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部门决算公开表格</w:t>
      </w:r>
    </w:p>
    <w:p w14:paraId="71087835">
      <w:pPr>
        <w:ind w:firstLine="640" w:firstLineChars="200"/>
        <w:jc w:val="left"/>
        <w:rPr>
          <w:rFonts w:ascii="宋体" w:hAnsi="宋体" w:eastAsia="宋体" w:cs="黑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</w:rPr>
        <w:t>度部门整体支出绩效评价报告</w:t>
      </w:r>
    </w:p>
    <w:p w14:paraId="59B6C2AC"/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ECFD4"/>
    <w:multiLevelType w:val="singleLevel"/>
    <w:tmpl w:val="8EDECFD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CF532DB"/>
    <w:multiLevelType w:val="singleLevel"/>
    <w:tmpl w:val="CCF532DB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373518C1"/>
    <w:multiLevelType w:val="multilevel"/>
    <w:tmpl w:val="373518C1"/>
    <w:lvl w:ilvl="0" w:tentative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B4D8E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59958AD"/>
    <w:rsid w:val="06C857E7"/>
    <w:rsid w:val="084666CA"/>
    <w:rsid w:val="08C24A73"/>
    <w:rsid w:val="1056041C"/>
    <w:rsid w:val="11944E2C"/>
    <w:rsid w:val="12583BA5"/>
    <w:rsid w:val="13BA5B9C"/>
    <w:rsid w:val="150B04CC"/>
    <w:rsid w:val="15A75FE9"/>
    <w:rsid w:val="17AC00A5"/>
    <w:rsid w:val="184F3995"/>
    <w:rsid w:val="1D97DEFF"/>
    <w:rsid w:val="1DFF72E5"/>
    <w:rsid w:val="1EFC6F07"/>
    <w:rsid w:val="1F0527A6"/>
    <w:rsid w:val="1F0926EF"/>
    <w:rsid w:val="22AC03C2"/>
    <w:rsid w:val="25413731"/>
    <w:rsid w:val="283B15FE"/>
    <w:rsid w:val="28BA0964"/>
    <w:rsid w:val="2C131E96"/>
    <w:rsid w:val="2F765A89"/>
    <w:rsid w:val="2FDF85B8"/>
    <w:rsid w:val="2FFFEE04"/>
    <w:rsid w:val="310C671B"/>
    <w:rsid w:val="31C95635"/>
    <w:rsid w:val="32C54D35"/>
    <w:rsid w:val="33C97969"/>
    <w:rsid w:val="34DF85B0"/>
    <w:rsid w:val="38763474"/>
    <w:rsid w:val="3A1D6FEF"/>
    <w:rsid w:val="3B8F36BC"/>
    <w:rsid w:val="3F616053"/>
    <w:rsid w:val="3F68731A"/>
    <w:rsid w:val="43EB5BA5"/>
    <w:rsid w:val="491FF225"/>
    <w:rsid w:val="4DD03C33"/>
    <w:rsid w:val="4EC310A1"/>
    <w:rsid w:val="4FFD214C"/>
    <w:rsid w:val="52D47C2F"/>
    <w:rsid w:val="5352765A"/>
    <w:rsid w:val="55381463"/>
    <w:rsid w:val="561D553B"/>
    <w:rsid w:val="5777D4F5"/>
    <w:rsid w:val="57E5652D"/>
    <w:rsid w:val="57EBA9D6"/>
    <w:rsid w:val="57F22B6F"/>
    <w:rsid w:val="58D72319"/>
    <w:rsid w:val="59DD8326"/>
    <w:rsid w:val="5A9A31F4"/>
    <w:rsid w:val="5BA1276A"/>
    <w:rsid w:val="5DEF592A"/>
    <w:rsid w:val="5E5A10B8"/>
    <w:rsid w:val="5FC6BB1E"/>
    <w:rsid w:val="5FF720F1"/>
    <w:rsid w:val="622964C1"/>
    <w:rsid w:val="678A2A7B"/>
    <w:rsid w:val="67FF5C0B"/>
    <w:rsid w:val="6A7466A1"/>
    <w:rsid w:val="6AA60986"/>
    <w:rsid w:val="6B330FBB"/>
    <w:rsid w:val="6BAA4A2F"/>
    <w:rsid w:val="6DDEC5C0"/>
    <w:rsid w:val="6EE016BD"/>
    <w:rsid w:val="6EFC0924"/>
    <w:rsid w:val="6F9E8580"/>
    <w:rsid w:val="6FB74722"/>
    <w:rsid w:val="6FEF8B7E"/>
    <w:rsid w:val="70130F5B"/>
    <w:rsid w:val="70507A6D"/>
    <w:rsid w:val="717FE77F"/>
    <w:rsid w:val="71A6591B"/>
    <w:rsid w:val="737D59BA"/>
    <w:rsid w:val="737F32B1"/>
    <w:rsid w:val="73BD3FCA"/>
    <w:rsid w:val="776BDA01"/>
    <w:rsid w:val="77C37683"/>
    <w:rsid w:val="79FF515B"/>
    <w:rsid w:val="7DFBFF20"/>
    <w:rsid w:val="7E9E1962"/>
    <w:rsid w:val="7E9F11B4"/>
    <w:rsid w:val="7F37EC1E"/>
    <w:rsid w:val="7F7C0DDA"/>
    <w:rsid w:val="7F7DCD9D"/>
    <w:rsid w:val="7F970A6F"/>
    <w:rsid w:val="7FC1FFF3"/>
    <w:rsid w:val="7FC69637"/>
    <w:rsid w:val="7FDF8620"/>
    <w:rsid w:val="7FFB242F"/>
    <w:rsid w:val="7FFDB408"/>
    <w:rsid w:val="7FFE4EEB"/>
    <w:rsid w:val="95FB2B98"/>
    <w:rsid w:val="9A639BC2"/>
    <w:rsid w:val="9FF7D786"/>
    <w:rsid w:val="ABBFB23D"/>
    <w:rsid w:val="B6BE5A03"/>
    <w:rsid w:val="B8C93228"/>
    <w:rsid w:val="C3B4DA5A"/>
    <w:rsid w:val="C4FF458C"/>
    <w:rsid w:val="C7BBD038"/>
    <w:rsid w:val="CBFF70E0"/>
    <w:rsid w:val="CFF50B82"/>
    <w:rsid w:val="CFFFAD89"/>
    <w:rsid w:val="DFFE359E"/>
    <w:rsid w:val="DFFE4FFD"/>
    <w:rsid w:val="DFFF5403"/>
    <w:rsid w:val="EBC3E00A"/>
    <w:rsid w:val="EDFBE100"/>
    <w:rsid w:val="EEABED75"/>
    <w:rsid w:val="EF7E8003"/>
    <w:rsid w:val="F56FDF51"/>
    <w:rsid w:val="F5F3EE78"/>
    <w:rsid w:val="F6B69F17"/>
    <w:rsid w:val="F6E5BB3A"/>
    <w:rsid w:val="F77F1D61"/>
    <w:rsid w:val="F7C36722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94102"/>
    <w:rsid w:val="FFFF1C8B"/>
    <w:rsid w:val="FF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16</Pages>
  <Words>7791</Words>
  <Characters>8413</Characters>
  <Lines>63</Lines>
  <Paragraphs>18</Paragraphs>
  <TotalTime>0</TotalTime>
  <ScaleCrop>false</ScaleCrop>
  <LinksUpToDate>false</LinksUpToDate>
  <CharactersWithSpaces>8446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2020-07-11T10:32:00Z</dcterms:created>
  <dc:creator>李航 null</dc:creator>
  <cp:lastModifiedBy>无语</cp:lastModifiedBy>
  <cp:lastPrinted>2024-08-11T18:20:00Z</cp:lastPrinted>
  <dcterms:modified xsi:type="dcterms:W3CDTF">2026-09-11T02:12:21Z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98623D6660B449428EB8E073C6C952EA</vt:lpwstr>
  </property>
  <property fmtid="{D5CDD505-2E9C-101B-9397-08002B2CF9AE}" pid="4" name="KSOTemplateDocerSaveRecord">
    <vt:lpwstr>eyJoZGlkIjoiNjc0NmFmOTE4NDlkN2VkMWE3ZTMzZjllNDI4YzE4OGQiLCJ1c2VySWQiOiIxODI1NzYwMjE0In0=</vt:lpwstr>
  </property>
</Properties>
</file>